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567229" w14:textId="1A3AC859" w:rsidR="009E3F77" w:rsidRPr="00A95DDB" w:rsidRDefault="009E3F77" w:rsidP="009E3F77">
      <w:pPr>
        <w:autoSpaceDE w:val="0"/>
        <w:autoSpaceDN w:val="0"/>
        <w:adjustRightInd w:val="0"/>
        <w:spacing w:after="0" w:line="240" w:lineRule="auto"/>
        <w:jc w:val="both"/>
        <w:rPr>
          <w:rFonts w:ascii="Arial" w:eastAsia="Calibri" w:hAnsi="Arial" w:cs="Arial"/>
          <w:b/>
          <w:sz w:val="23"/>
          <w:szCs w:val="23"/>
          <w:lang w:eastAsia="pt-BR"/>
        </w:rPr>
      </w:pPr>
      <w:r w:rsidRPr="00A95DDB">
        <w:rPr>
          <w:rFonts w:ascii="Arial" w:eastAsia="Calibri" w:hAnsi="Arial" w:cs="Arial"/>
          <w:b/>
          <w:bCs/>
          <w:sz w:val="23"/>
          <w:szCs w:val="23"/>
          <w:lang w:eastAsia="pt-BR"/>
        </w:rPr>
        <w:t>PROCESSO ADMINISTRATIVO Nº</w:t>
      </w:r>
      <w:r w:rsidRPr="00A95DDB">
        <w:rPr>
          <w:rFonts w:ascii="Arial" w:eastAsia="Calibri" w:hAnsi="Arial" w:cs="Arial"/>
          <w:bCs/>
          <w:sz w:val="23"/>
          <w:szCs w:val="23"/>
          <w:lang w:eastAsia="pt-BR"/>
        </w:rPr>
        <w:t xml:space="preserve"> </w:t>
      </w:r>
      <w:r w:rsidRPr="00A95DDB">
        <w:rPr>
          <w:rFonts w:ascii="Arial" w:eastAsia="Calibri" w:hAnsi="Arial" w:cs="Arial"/>
          <w:b/>
          <w:sz w:val="23"/>
          <w:szCs w:val="23"/>
          <w:lang w:eastAsia="pt-BR"/>
        </w:rPr>
        <w:t>4049</w:t>
      </w:r>
      <w:r w:rsidRPr="00A95DDB">
        <w:rPr>
          <w:rFonts w:ascii="Arial" w:eastAsia="Calibri" w:hAnsi="Arial" w:cs="Arial"/>
          <w:b/>
          <w:sz w:val="23"/>
          <w:szCs w:val="23"/>
          <w:lang w:eastAsia="pt-BR"/>
        </w:rPr>
        <w:t>/2024</w:t>
      </w:r>
    </w:p>
    <w:p w14:paraId="686658FF" w14:textId="62B03015" w:rsidR="009E3F77" w:rsidRPr="00A95DDB" w:rsidRDefault="009E3F77" w:rsidP="009E3F77">
      <w:pPr>
        <w:autoSpaceDE w:val="0"/>
        <w:autoSpaceDN w:val="0"/>
        <w:adjustRightInd w:val="0"/>
        <w:spacing w:after="0" w:line="240" w:lineRule="auto"/>
        <w:jc w:val="both"/>
        <w:rPr>
          <w:rFonts w:ascii="Arial" w:eastAsia="Calibri" w:hAnsi="Arial" w:cs="Arial"/>
          <w:b/>
          <w:bCs/>
          <w:sz w:val="23"/>
          <w:szCs w:val="23"/>
          <w:lang w:eastAsia="pt-BR"/>
        </w:rPr>
      </w:pPr>
      <w:r w:rsidRPr="00A95DDB">
        <w:rPr>
          <w:rFonts w:ascii="Arial" w:eastAsia="Calibri" w:hAnsi="Arial" w:cs="Arial"/>
          <w:b/>
          <w:bCs/>
          <w:sz w:val="23"/>
          <w:szCs w:val="23"/>
          <w:lang w:eastAsia="pt-BR"/>
        </w:rPr>
        <w:t>TERMO DE INEXIGIBILIDADE DE LICITAÇÃO Nº 0</w:t>
      </w:r>
      <w:r w:rsidR="00E603DE" w:rsidRPr="00A95DDB">
        <w:rPr>
          <w:rFonts w:ascii="Arial" w:eastAsia="Calibri" w:hAnsi="Arial" w:cs="Arial"/>
          <w:b/>
          <w:bCs/>
          <w:sz w:val="23"/>
          <w:szCs w:val="23"/>
          <w:lang w:eastAsia="pt-BR"/>
        </w:rPr>
        <w:t>3</w:t>
      </w:r>
      <w:r w:rsidRPr="00A95DDB">
        <w:rPr>
          <w:rFonts w:ascii="Arial" w:eastAsia="Calibri" w:hAnsi="Arial" w:cs="Arial"/>
          <w:b/>
          <w:bCs/>
          <w:sz w:val="23"/>
          <w:szCs w:val="23"/>
          <w:lang w:eastAsia="pt-BR"/>
        </w:rPr>
        <w:t>/2024 FMS</w:t>
      </w:r>
    </w:p>
    <w:p w14:paraId="39712121" w14:textId="699D348A" w:rsidR="009E3F77" w:rsidRPr="00A95DDB" w:rsidRDefault="009E3F77" w:rsidP="009E3F77">
      <w:pPr>
        <w:autoSpaceDE w:val="0"/>
        <w:autoSpaceDN w:val="0"/>
        <w:adjustRightInd w:val="0"/>
        <w:spacing w:after="0" w:line="240" w:lineRule="auto"/>
        <w:jc w:val="both"/>
        <w:rPr>
          <w:rFonts w:ascii="Arial" w:eastAsia="Calibri" w:hAnsi="Arial" w:cs="Arial"/>
          <w:b/>
          <w:bCs/>
          <w:sz w:val="23"/>
          <w:szCs w:val="23"/>
          <w:lang w:eastAsia="pt-BR"/>
        </w:rPr>
      </w:pPr>
      <w:r w:rsidRPr="00A95DDB">
        <w:rPr>
          <w:rFonts w:ascii="Arial" w:eastAsia="Calibri" w:hAnsi="Arial" w:cs="Arial"/>
          <w:b/>
          <w:bCs/>
          <w:sz w:val="23"/>
          <w:szCs w:val="23"/>
          <w:lang w:eastAsia="pt-BR"/>
        </w:rPr>
        <w:t xml:space="preserve">CONTRATO ADMINISTRATIVO Nº </w:t>
      </w:r>
      <w:r w:rsidR="006A4851" w:rsidRPr="00A95DDB">
        <w:rPr>
          <w:rFonts w:ascii="Arial" w:eastAsia="Calibri" w:hAnsi="Arial" w:cs="Arial"/>
          <w:b/>
          <w:bCs/>
          <w:sz w:val="23"/>
          <w:szCs w:val="23"/>
          <w:lang w:eastAsia="pt-BR"/>
        </w:rPr>
        <w:t>156</w:t>
      </w:r>
      <w:r w:rsidRPr="00A95DDB">
        <w:rPr>
          <w:rFonts w:ascii="Arial" w:eastAsia="Calibri" w:hAnsi="Arial" w:cs="Arial"/>
          <w:b/>
          <w:bCs/>
          <w:sz w:val="23"/>
          <w:szCs w:val="23"/>
          <w:lang w:eastAsia="pt-BR"/>
        </w:rPr>
        <w:t>/2024 FMS</w:t>
      </w:r>
    </w:p>
    <w:p w14:paraId="4410B772" w14:textId="77777777" w:rsidR="009E3F77" w:rsidRPr="00A95DDB" w:rsidRDefault="009E3F77" w:rsidP="009E3F77">
      <w:pPr>
        <w:autoSpaceDE w:val="0"/>
        <w:autoSpaceDN w:val="0"/>
        <w:adjustRightInd w:val="0"/>
        <w:spacing w:after="0" w:line="240" w:lineRule="auto"/>
        <w:jc w:val="both"/>
        <w:rPr>
          <w:rFonts w:ascii="Arial" w:eastAsia="Calibri" w:hAnsi="Arial" w:cs="Arial"/>
          <w:bCs/>
          <w:sz w:val="23"/>
          <w:szCs w:val="23"/>
          <w:lang w:eastAsia="pt-BR"/>
        </w:rPr>
      </w:pPr>
    </w:p>
    <w:p w14:paraId="505A5CB1" w14:textId="7C5F100A" w:rsidR="009E3F77" w:rsidRPr="00A95DDB" w:rsidRDefault="009E3F77" w:rsidP="009E3F77">
      <w:pPr>
        <w:widowControl w:val="0"/>
        <w:suppressAutoHyphens/>
        <w:spacing w:after="120" w:line="240" w:lineRule="auto"/>
        <w:ind w:left="3969"/>
        <w:jc w:val="both"/>
        <w:rPr>
          <w:rFonts w:ascii="Arial" w:eastAsia="Arial Unicode MS" w:hAnsi="Arial" w:cs="Arial"/>
          <w:b/>
          <w:sz w:val="23"/>
          <w:szCs w:val="23"/>
          <w:lang w:eastAsia="zh-CN"/>
        </w:rPr>
      </w:pPr>
      <w:r w:rsidRPr="00A95DDB">
        <w:rPr>
          <w:rFonts w:ascii="Arial" w:eastAsia="Arial" w:hAnsi="Arial" w:cs="Arial"/>
          <w:b/>
          <w:sz w:val="23"/>
          <w:szCs w:val="23"/>
          <w:lang w:eastAsia="zh-CN"/>
        </w:rPr>
        <w:t xml:space="preserve">CONTRATO DE LOCAÇÃO DE IMÓVEL, QUE ENTRE SI CELEBRAM O SR. </w:t>
      </w:r>
      <w:r w:rsidR="006A4851" w:rsidRPr="00A95DDB">
        <w:rPr>
          <w:rFonts w:ascii="Arial" w:eastAsia="Arial" w:hAnsi="Arial" w:cs="Arial"/>
          <w:b/>
          <w:sz w:val="23"/>
          <w:szCs w:val="23"/>
          <w:lang w:eastAsia="zh-CN"/>
        </w:rPr>
        <w:t>ALAERTES LUIZ NICCHIO</w:t>
      </w:r>
      <w:r w:rsidRPr="00A95DDB">
        <w:rPr>
          <w:rFonts w:ascii="Arial" w:eastAsia="Arial" w:hAnsi="Arial" w:cs="Arial"/>
          <w:b/>
          <w:sz w:val="23"/>
          <w:szCs w:val="23"/>
          <w:lang w:eastAsia="zh-CN"/>
        </w:rPr>
        <w:t xml:space="preserve"> </w:t>
      </w:r>
      <w:r w:rsidRPr="00A95DDB">
        <w:rPr>
          <w:rFonts w:ascii="Arial" w:eastAsia="Arial Unicode MS" w:hAnsi="Arial" w:cs="Arial"/>
          <w:b/>
          <w:sz w:val="23"/>
          <w:szCs w:val="23"/>
          <w:lang w:eastAsia="zh-CN"/>
        </w:rPr>
        <w:t>COM O</w:t>
      </w:r>
      <w:r w:rsidRPr="00A95DDB">
        <w:rPr>
          <w:rFonts w:ascii="Arial" w:eastAsia="Arial" w:hAnsi="Arial" w:cs="Arial"/>
          <w:b/>
          <w:sz w:val="23"/>
          <w:szCs w:val="23"/>
          <w:lang w:eastAsia="zh-CN"/>
        </w:rPr>
        <w:t xml:space="preserve"> MUNICÍPIO DE SÃO DOMINGOS DO NORTE/ES. </w:t>
      </w:r>
    </w:p>
    <w:p w14:paraId="35A2C8B2" w14:textId="77777777" w:rsidR="009E3F77" w:rsidRPr="00A95DDB" w:rsidRDefault="009E3F77" w:rsidP="009E3F77">
      <w:pPr>
        <w:autoSpaceDE w:val="0"/>
        <w:autoSpaceDN w:val="0"/>
        <w:adjustRightInd w:val="0"/>
        <w:spacing w:after="0" w:line="240" w:lineRule="auto"/>
        <w:jc w:val="both"/>
        <w:rPr>
          <w:rFonts w:ascii="Arial" w:eastAsia="Calibri" w:hAnsi="Arial" w:cs="Arial"/>
          <w:b/>
          <w:bCs/>
          <w:sz w:val="23"/>
          <w:szCs w:val="23"/>
          <w:highlight w:val="yellow"/>
          <w:lang w:eastAsia="pt-BR"/>
        </w:rPr>
      </w:pPr>
    </w:p>
    <w:p w14:paraId="40FA18B3" w14:textId="47CDA02E" w:rsidR="009E3F77" w:rsidRPr="00A95DDB" w:rsidRDefault="009E3F77" w:rsidP="009E3F77">
      <w:pPr>
        <w:autoSpaceDE w:val="0"/>
        <w:autoSpaceDN w:val="0"/>
        <w:adjustRightInd w:val="0"/>
        <w:spacing w:after="0" w:line="240" w:lineRule="auto"/>
        <w:jc w:val="both"/>
        <w:rPr>
          <w:rFonts w:ascii="Arial" w:eastAsia="Calibri" w:hAnsi="Arial" w:cs="Arial"/>
          <w:sz w:val="23"/>
          <w:szCs w:val="23"/>
          <w:lang w:eastAsia="pt-BR"/>
        </w:rPr>
      </w:pPr>
      <w:r w:rsidRPr="00A95DDB">
        <w:rPr>
          <w:rFonts w:ascii="Arial" w:hAnsi="Arial" w:cs="Arial"/>
          <w:sz w:val="23"/>
          <w:szCs w:val="23"/>
        </w:rPr>
        <w:t xml:space="preserve">O </w:t>
      </w:r>
      <w:r w:rsidRPr="00A95DDB">
        <w:rPr>
          <w:rFonts w:ascii="Arial" w:hAnsi="Arial" w:cs="Arial"/>
          <w:b/>
          <w:bCs/>
          <w:sz w:val="23"/>
          <w:szCs w:val="23"/>
        </w:rPr>
        <w:t>FUNDO MUNICIPAL DE SAÚDE</w:t>
      </w:r>
      <w:r w:rsidRPr="00A95DDB">
        <w:rPr>
          <w:rFonts w:ascii="Arial" w:hAnsi="Arial" w:cs="Arial"/>
          <w:sz w:val="23"/>
          <w:szCs w:val="23"/>
        </w:rPr>
        <w:t xml:space="preserve">, por intermédio da Secretaria Municipal de Saúde, órgão da Administração Direta do Poder Executivo, inscrito no CNPJ/MF sob o n° 13.953.742/0001-83, com sede na Travessa Sebastião Valeriano Pagani, Centro, São Domingos do Norte/ES, CEP 29745-000, representada legalmente por seu Secretário, o Sr. </w:t>
      </w:r>
      <w:r w:rsidRPr="00A95DDB">
        <w:rPr>
          <w:rFonts w:ascii="Arial" w:hAnsi="Arial" w:cs="Arial"/>
          <w:b/>
          <w:bCs/>
          <w:sz w:val="23"/>
          <w:szCs w:val="23"/>
        </w:rPr>
        <w:t>Alessandro Nicchio</w:t>
      </w:r>
      <w:r w:rsidRPr="00A95DDB">
        <w:rPr>
          <w:rFonts w:ascii="Arial" w:hAnsi="Arial" w:cs="Arial"/>
          <w:sz w:val="23"/>
          <w:szCs w:val="23"/>
        </w:rPr>
        <w:t xml:space="preserve">, brasileiro, casado, portador do CPF nº 045.844.417-07 e RG nº 1292049 SSP ES, residente e domiciliado na Rua Francisco Nicchio, nº 11, Centro, São Domingos do Norte/ES, CEP 29745-000 e pela Prefeita Municipal a Sra. </w:t>
      </w:r>
      <w:r w:rsidRPr="00A95DDB">
        <w:rPr>
          <w:rFonts w:ascii="Arial" w:hAnsi="Arial" w:cs="Arial"/>
          <w:b/>
          <w:bCs/>
          <w:sz w:val="23"/>
          <w:szCs w:val="23"/>
        </w:rPr>
        <w:t>Ana Izabel Malacarne de Oliveira</w:t>
      </w:r>
      <w:r w:rsidRPr="00A95DDB">
        <w:rPr>
          <w:rFonts w:ascii="Arial" w:hAnsi="Arial" w:cs="Arial"/>
          <w:sz w:val="23"/>
          <w:szCs w:val="23"/>
        </w:rPr>
        <w:t xml:space="preserve">, brasileira, casada, portadora do CPF nº 775.711.857-34, residente na Rua Goiânia, s/nº, Centro, São Domingos do Norte/ES, CEP 29745-000, aqui denominado </w:t>
      </w:r>
      <w:r w:rsidRPr="00A95DDB">
        <w:rPr>
          <w:rFonts w:ascii="Arial" w:hAnsi="Arial" w:cs="Arial"/>
          <w:b/>
          <w:bCs/>
          <w:sz w:val="23"/>
          <w:szCs w:val="23"/>
        </w:rPr>
        <w:t>LOCATÁRIO</w:t>
      </w:r>
      <w:r w:rsidRPr="00A95DDB">
        <w:rPr>
          <w:rFonts w:ascii="Arial" w:eastAsia="Calibri" w:hAnsi="Arial" w:cs="Arial"/>
          <w:color w:val="000000"/>
          <w:sz w:val="23"/>
          <w:szCs w:val="23"/>
        </w:rPr>
        <w:t xml:space="preserve"> </w:t>
      </w:r>
      <w:r w:rsidRPr="00A95DDB">
        <w:rPr>
          <w:rFonts w:ascii="Arial" w:eastAsia="Calibri" w:hAnsi="Arial" w:cs="Arial"/>
          <w:sz w:val="23"/>
          <w:szCs w:val="23"/>
        </w:rPr>
        <w:t xml:space="preserve">e do outro lado o Sr. </w:t>
      </w:r>
      <w:r w:rsidR="006A4851" w:rsidRPr="00A95DDB">
        <w:rPr>
          <w:rFonts w:ascii="Arial" w:eastAsia="Arial" w:hAnsi="Arial" w:cs="Arial"/>
          <w:b/>
          <w:sz w:val="23"/>
          <w:szCs w:val="23"/>
          <w:lang w:eastAsia="zh-CN"/>
        </w:rPr>
        <w:t>ALAERTES LUIZ NICCHIO</w:t>
      </w:r>
      <w:r w:rsidRPr="00A95DDB">
        <w:rPr>
          <w:rFonts w:ascii="Arial" w:eastAsia="Calibri" w:hAnsi="Arial" w:cs="Arial"/>
          <w:sz w:val="23"/>
          <w:szCs w:val="23"/>
        </w:rPr>
        <w:t xml:space="preserve">, inscrito no CPF sob o nº </w:t>
      </w:r>
      <w:r w:rsidR="006A4851" w:rsidRPr="00A95DDB">
        <w:rPr>
          <w:rFonts w:ascii="Arial" w:eastAsia="Calibri" w:hAnsi="Arial" w:cs="Arial"/>
          <w:sz w:val="23"/>
          <w:szCs w:val="23"/>
        </w:rPr>
        <w:t>216.225.157-49 e RG nº 1.981.983 SSP/ES</w:t>
      </w:r>
      <w:r w:rsidRPr="00A95DDB">
        <w:rPr>
          <w:rFonts w:ascii="Arial" w:eastAsia="Calibri" w:hAnsi="Arial" w:cs="Arial"/>
          <w:sz w:val="23"/>
          <w:szCs w:val="23"/>
          <w:lang w:eastAsia="pt-BR"/>
        </w:rPr>
        <w:t xml:space="preserve">, residente </w:t>
      </w:r>
      <w:r w:rsidR="006A4851" w:rsidRPr="00A95DDB">
        <w:rPr>
          <w:rFonts w:ascii="Arial" w:eastAsia="Calibri" w:hAnsi="Arial" w:cs="Arial"/>
          <w:sz w:val="23"/>
          <w:szCs w:val="23"/>
          <w:lang w:eastAsia="pt-BR"/>
        </w:rPr>
        <w:t>na Rua Francisco Nicchio</w:t>
      </w:r>
      <w:r w:rsidR="00B3322E" w:rsidRPr="00A95DDB">
        <w:rPr>
          <w:rFonts w:ascii="Arial" w:eastAsia="Calibri" w:hAnsi="Arial" w:cs="Arial"/>
          <w:sz w:val="23"/>
          <w:szCs w:val="23"/>
          <w:lang w:eastAsia="pt-BR"/>
        </w:rPr>
        <w:t>, Centro, S</w:t>
      </w:r>
      <w:r w:rsidRPr="00A95DDB">
        <w:rPr>
          <w:rFonts w:ascii="Arial" w:eastAsia="Calibri" w:hAnsi="Arial" w:cs="Arial"/>
          <w:sz w:val="23"/>
          <w:szCs w:val="23"/>
          <w:lang w:eastAsia="pt-BR"/>
        </w:rPr>
        <w:t xml:space="preserve">ão Domingos do Norte/ES, CEP 29745-000, doravante denominado </w:t>
      </w:r>
      <w:r w:rsidRPr="00A95DDB">
        <w:rPr>
          <w:rFonts w:ascii="Arial" w:eastAsia="Calibri" w:hAnsi="Arial" w:cs="Arial"/>
          <w:b/>
          <w:bCs/>
          <w:sz w:val="23"/>
          <w:szCs w:val="23"/>
          <w:lang w:eastAsia="pt-BR"/>
        </w:rPr>
        <w:t>LOCADOR</w:t>
      </w:r>
      <w:r w:rsidRPr="00A95DDB">
        <w:rPr>
          <w:rFonts w:ascii="Arial" w:eastAsia="Calibri" w:hAnsi="Arial" w:cs="Arial"/>
          <w:sz w:val="23"/>
          <w:szCs w:val="23"/>
          <w:lang w:eastAsia="pt-BR"/>
        </w:rPr>
        <w:t xml:space="preserve">, e de acordo com o constante no Processo Administrativo nº </w:t>
      </w:r>
      <w:r w:rsidR="00B3322E" w:rsidRPr="00A95DDB">
        <w:rPr>
          <w:rFonts w:ascii="Arial" w:eastAsia="Calibri" w:hAnsi="Arial" w:cs="Arial"/>
          <w:sz w:val="23"/>
          <w:szCs w:val="23"/>
          <w:lang w:eastAsia="pt-BR"/>
        </w:rPr>
        <w:t>4049</w:t>
      </w:r>
      <w:r w:rsidRPr="00A95DDB">
        <w:rPr>
          <w:rFonts w:ascii="Arial" w:eastAsia="Calibri" w:hAnsi="Arial" w:cs="Arial"/>
          <w:sz w:val="23"/>
          <w:szCs w:val="23"/>
          <w:lang w:eastAsia="pt-BR"/>
        </w:rPr>
        <w:t>/2024 e em observância às disposições da Lei n° 14.133/2021, nas demais legislações pertinentes, em suas alterações posteriores, ou em outros dispositivos legais que vierem a substituí-los, no Decreto Municipal nº 2099/2024 e na Lei Federal nº 8.245/1991 e alterações posteriores, resolvem celebrar o presente Termo de Contrato, decorrente do Termo de Inexigibilidade de Licitação nº 0</w:t>
      </w:r>
      <w:r w:rsidR="00B3322E" w:rsidRPr="00A95DDB">
        <w:rPr>
          <w:rFonts w:ascii="Arial" w:eastAsia="Calibri" w:hAnsi="Arial" w:cs="Arial"/>
          <w:sz w:val="23"/>
          <w:szCs w:val="23"/>
          <w:lang w:eastAsia="pt-BR"/>
        </w:rPr>
        <w:t>3</w:t>
      </w:r>
      <w:r w:rsidRPr="00A95DDB">
        <w:rPr>
          <w:rFonts w:ascii="Arial" w:eastAsia="Calibri" w:hAnsi="Arial" w:cs="Arial"/>
          <w:sz w:val="23"/>
          <w:szCs w:val="23"/>
          <w:lang w:eastAsia="pt-BR"/>
        </w:rPr>
        <w:t>/2024 FMS, mediante as cláusulas e condições estabelecidas a seguir:</w:t>
      </w:r>
    </w:p>
    <w:p w14:paraId="5592622B" w14:textId="77777777" w:rsidR="009E3F77" w:rsidRPr="00A95DDB" w:rsidRDefault="009E3F77" w:rsidP="009E3F77">
      <w:pPr>
        <w:autoSpaceDE w:val="0"/>
        <w:autoSpaceDN w:val="0"/>
        <w:adjustRightInd w:val="0"/>
        <w:spacing w:after="0" w:line="240" w:lineRule="auto"/>
        <w:jc w:val="both"/>
        <w:rPr>
          <w:rFonts w:ascii="Arial" w:eastAsia="Calibri" w:hAnsi="Arial" w:cs="Arial"/>
          <w:sz w:val="23"/>
          <w:szCs w:val="23"/>
          <w:highlight w:val="yellow"/>
          <w:lang w:eastAsia="pt-BR"/>
        </w:rPr>
      </w:pPr>
    </w:p>
    <w:p w14:paraId="6BCCEEF9" w14:textId="77777777" w:rsidR="009E3F77" w:rsidRPr="00A95DDB" w:rsidRDefault="009E3F77" w:rsidP="009E3F77">
      <w:pPr>
        <w:autoSpaceDE w:val="0"/>
        <w:autoSpaceDN w:val="0"/>
        <w:adjustRightInd w:val="0"/>
        <w:spacing w:after="0" w:line="240" w:lineRule="auto"/>
        <w:jc w:val="both"/>
        <w:rPr>
          <w:rFonts w:ascii="Arial" w:eastAsia="Calibri" w:hAnsi="Arial" w:cs="Arial"/>
          <w:sz w:val="23"/>
          <w:szCs w:val="23"/>
          <w:u w:val="single"/>
          <w:lang w:eastAsia="pt-BR"/>
        </w:rPr>
      </w:pPr>
      <w:r w:rsidRPr="00A95DDB">
        <w:rPr>
          <w:rFonts w:ascii="Arial" w:eastAsia="Calibri" w:hAnsi="Arial" w:cs="Arial"/>
          <w:b/>
          <w:bCs/>
          <w:sz w:val="23"/>
          <w:szCs w:val="23"/>
          <w:u w:val="single"/>
          <w:lang w:eastAsia="pt-BR"/>
        </w:rPr>
        <w:t>CLÁUSULA PRIMEIRA - DO OBJETO</w:t>
      </w:r>
      <w:r w:rsidRPr="00A95DDB">
        <w:rPr>
          <w:rFonts w:ascii="Arial" w:eastAsia="Calibri" w:hAnsi="Arial" w:cs="Arial"/>
          <w:sz w:val="23"/>
          <w:szCs w:val="23"/>
          <w:u w:val="single"/>
          <w:lang w:eastAsia="pt-BR"/>
        </w:rPr>
        <w:t>.</w:t>
      </w:r>
    </w:p>
    <w:p w14:paraId="2FF8C11E" w14:textId="52B75A0C" w:rsidR="009E3F77" w:rsidRPr="00A95DDB" w:rsidRDefault="009E3F77" w:rsidP="009E3F77">
      <w:pPr>
        <w:autoSpaceDE w:val="0"/>
        <w:autoSpaceDN w:val="0"/>
        <w:adjustRightInd w:val="0"/>
        <w:spacing w:after="0" w:line="240" w:lineRule="auto"/>
        <w:jc w:val="both"/>
        <w:rPr>
          <w:rFonts w:ascii="Arial" w:eastAsia="Calibri" w:hAnsi="Arial" w:cs="Arial"/>
          <w:sz w:val="23"/>
          <w:szCs w:val="23"/>
          <w:lang w:eastAsia="pt-BR"/>
        </w:rPr>
      </w:pPr>
      <w:r w:rsidRPr="00A95DDB">
        <w:rPr>
          <w:rFonts w:ascii="Arial" w:eastAsia="Calibri" w:hAnsi="Arial" w:cs="Arial"/>
          <w:sz w:val="23"/>
          <w:szCs w:val="23"/>
          <w:lang w:eastAsia="pt-BR"/>
        </w:rPr>
        <w:t xml:space="preserve">1.1. Constitui objeto do presente contrato a locação do imóvel localizado no endereço Rua </w:t>
      </w:r>
      <w:r w:rsidR="00B3322E" w:rsidRPr="00A95DDB">
        <w:rPr>
          <w:rFonts w:ascii="Arial" w:eastAsia="Calibri" w:hAnsi="Arial" w:cs="Arial"/>
          <w:sz w:val="23"/>
          <w:szCs w:val="23"/>
          <w:lang w:eastAsia="pt-BR"/>
        </w:rPr>
        <w:t>Francisco Nicchio</w:t>
      </w:r>
      <w:r w:rsidRPr="00A95DDB">
        <w:rPr>
          <w:rFonts w:ascii="Arial" w:eastAsia="Calibri" w:hAnsi="Arial" w:cs="Arial"/>
          <w:sz w:val="23"/>
          <w:szCs w:val="23"/>
          <w:lang w:eastAsia="pt-BR"/>
        </w:rPr>
        <w:t xml:space="preserve">, Centro, São Domingos do Norte/ES, CEP 29745-000, objeto da matrícula n° </w:t>
      </w:r>
      <w:r w:rsidR="00B3322E" w:rsidRPr="00A95DDB">
        <w:rPr>
          <w:rFonts w:ascii="Arial" w:eastAsia="Calibri" w:hAnsi="Arial" w:cs="Arial"/>
          <w:sz w:val="23"/>
          <w:szCs w:val="23"/>
          <w:lang w:eastAsia="pt-BR"/>
        </w:rPr>
        <w:t>747</w:t>
      </w:r>
      <w:r w:rsidRPr="00A95DDB">
        <w:rPr>
          <w:rFonts w:ascii="Arial" w:eastAsia="Calibri" w:hAnsi="Arial" w:cs="Arial"/>
          <w:sz w:val="23"/>
          <w:szCs w:val="23"/>
          <w:lang w:eastAsia="pt-BR"/>
        </w:rPr>
        <w:t xml:space="preserve">, do Cartório de Registro de Imóveis da Comarca de São Domingos do Norte/ES, de propriedade de Sr. </w:t>
      </w:r>
      <w:r w:rsidR="00B3322E" w:rsidRPr="00A95DDB">
        <w:rPr>
          <w:rFonts w:ascii="Arial" w:eastAsia="Calibri" w:hAnsi="Arial" w:cs="Arial"/>
          <w:sz w:val="23"/>
          <w:szCs w:val="23"/>
          <w:lang w:eastAsia="pt-BR"/>
        </w:rPr>
        <w:t>ALAERTES LUIZ NICCHIO</w:t>
      </w:r>
      <w:r w:rsidRPr="00A95DDB">
        <w:rPr>
          <w:rFonts w:ascii="Arial" w:eastAsia="Calibri" w:hAnsi="Arial" w:cs="Arial"/>
          <w:sz w:val="23"/>
          <w:szCs w:val="23"/>
          <w:lang w:eastAsia="pt-BR"/>
        </w:rPr>
        <w:t xml:space="preserve">, inscrito no CPF sob o nº </w:t>
      </w:r>
      <w:r w:rsidR="00B3322E" w:rsidRPr="00A95DDB">
        <w:rPr>
          <w:rFonts w:ascii="Arial" w:eastAsia="Calibri" w:hAnsi="Arial" w:cs="Arial"/>
          <w:sz w:val="23"/>
          <w:szCs w:val="23"/>
        </w:rPr>
        <w:t>216.225.157-49</w:t>
      </w:r>
      <w:r w:rsidRPr="00A95DDB">
        <w:rPr>
          <w:rFonts w:ascii="Arial" w:eastAsia="Calibri" w:hAnsi="Arial" w:cs="Arial"/>
          <w:sz w:val="23"/>
          <w:szCs w:val="23"/>
          <w:lang w:eastAsia="pt-BR"/>
        </w:rPr>
        <w:t>, para abrigar as instalações d</w:t>
      </w:r>
      <w:r w:rsidR="00B3322E" w:rsidRPr="00A95DDB">
        <w:rPr>
          <w:rFonts w:ascii="Arial" w:eastAsia="Calibri" w:hAnsi="Arial" w:cs="Arial"/>
          <w:sz w:val="23"/>
          <w:szCs w:val="23"/>
          <w:lang w:eastAsia="pt-BR"/>
        </w:rPr>
        <w:t>o ponto de apoio</w:t>
      </w:r>
      <w:r w:rsidRPr="00A95DDB">
        <w:rPr>
          <w:rFonts w:ascii="Arial" w:eastAsia="Calibri" w:hAnsi="Arial" w:cs="Arial"/>
          <w:sz w:val="23"/>
          <w:szCs w:val="23"/>
          <w:lang w:eastAsia="pt-BR"/>
        </w:rPr>
        <w:t xml:space="preserve"> </w:t>
      </w:r>
      <w:r w:rsidR="00B3322E" w:rsidRPr="00A95DDB">
        <w:rPr>
          <w:rFonts w:ascii="Arial" w:eastAsia="Calibri" w:hAnsi="Arial" w:cs="Arial"/>
          <w:sz w:val="23"/>
          <w:szCs w:val="23"/>
          <w:lang w:eastAsia="pt-BR"/>
        </w:rPr>
        <w:t xml:space="preserve">da </w:t>
      </w:r>
      <w:r w:rsidRPr="00A95DDB">
        <w:rPr>
          <w:rFonts w:ascii="Arial" w:eastAsia="Calibri" w:hAnsi="Arial" w:cs="Arial"/>
          <w:sz w:val="23"/>
          <w:szCs w:val="23"/>
          <w:lang w:eastAsia="pt-BR"/>
        </w:rPr>
        <w:t xml:space="preserve">ESF </w:t>
      </w:r>
      <w:r w:rsidR="00B3322E" w:rsidRPr="00A95DDB">
        <w:rPr>
          <w:rFonts w:ascii="Arial" w:eastAsia="Calibri" w:hAnsi="Arial" w:cs="Arial"/>
          <w:sz w:val="23"/>
          <w:szCs w:val="23"/>
          <w:lang w:eastAsia="pt-BR"/>
        </w:rPr>
        <w:t xml:space="preserve">“Rubens Rangel”, bem como </w:t>
      </w:r>
      <w:r w:rsidR="00A95DDB" w:rsidRPr="00A95DDB">
        <w:rPr>
          <w:rFonts w:ascii="Arial" w:eastAsia="Calibri" w:hAnsi="Arial" w:cs="Arial"/>
          <w:sz w:val="23"/>
          <w:szCs w:val="23"/>
          <w:lang w:eastAsia="pt-BR"/>
        </w:rPr>
        <w:t>para atendimentos de imunização</w:t>
      </w:r>
      <w:r w:rsidRPr="00A95DDB">
        <w:rPr>
          <w:rFonts w:ascii="Arial" w:eastAsia="Calibri" w:hAnsi="Arial" w:cs="Arial"/>
          <w:sz w:val="23"/>
          <w:szCs w:val="23"/>
          <w:lang w:eastAsia="pt-BR"/>
        </w:rPr>
        <w:t>.</w:t>
      </w:r>
    </w:p>
    <w:p w14:paraId="75155CB5" w14:textId="77777777" w:rsidR="009E3F77" w:rsidRPr="00A95DDB" w:rsidRDefault="009E3F77" w:rsidP="009E3F77">
      <w:pPr>
        <w:autoSpaceDE w:val="0"/>
        <w:autoSpaceDN w:val="0"/>
        <w:adjustRightInd w:val="0"/>
        <w:spacing w:after="0" w:line="240" w:lineRule="auto"/>
        <w:jc w:val="both"/>
        <w:rPr>
          <w:rFonts w:ascii="Arial" w:eastAsia="Calibri" w:hAnsi="Arial" w:cs="Arial"/>
          <w:sz w:val="23"/>
          <w:szCs w:val="23"/>
          <w:lang w:eastAsia="pt-BR"/>
        </w:rPr>
      </w:pPr>
      <w:r w:rsidRPr="00A95DDB">
        <w:rPr>
          <w:rFonts w:ascii="Arial" w:eastAsia="Calibri" w:hAnsi="Arial" w:cs="Arial"/>
          <w:sz w:val="23"/>
          <w:szCs w:val="23"/>
          <w:lang w:eastAsia="pt-BR"/>
        </w:rPr>
        <w:t>1.2. Vinculam esta contratação, independentemente de transcrição:</w:t>
      </w:r>
    </w:p>
    <w:p w14:paraId="4F929087" w14:textId="77777777" w:rsidR="009E3F77" w:rsidRPr="00A95DDB" w:rsidRDefault="009E3F77" w:rsidP="009E3F77">
      <w:pPr>
        <w:autoSpaceDE w:val="0"/>
        <w:autoSpaceDN w:val="0"/>
        <w:adjustRightInd w:val="0"/>
        <w:spacing w:after="0" w:line="240" w:lineRule="auto"/>
        <w:jc w:val="both"/>
        <w:rPr>
          <w:rFonts w:ascii="Arial" w:eastAsia="Calibri" w:hAnsi="Arial" w:cs="Arial"/>
          <w:sz w:val="23"/>
          <w:szCs w:val="23"/>
          <w:lang w:eastAsia="pt-BR"/>
        </w:rPr>
      </w:pPr>
      <w:r w:rsidRPr="00A95DDB">
        <w:rPr>
          <w:rFonts w:ascii="Arial" w:eastAsia="Calibri" w:hAnsi="Arial" w:cs="Arial"/>
          <w:sz w:val="23"/>
          <w:szCs w:val="23"/>
          <w:lang w:eastAsia="pt-BR"/>
        </w:rPr>
        <w:t>1.2.1. O Termo de Referência;</w:t>
      </w:r>
    </w:p>
    <w:p w14:paraId="44BF5FC9" w14:textId="77777777" w:rsidR="009E3F77" w:rsidRPr="00A95DDB" w:rsidRDefault="009E3F77" w:rsidP="009E3F77">
      <w:pPr>
        <w:autoSpaceDE w:val="0"/>
        <w:autoSpaceDN w:val="0"/>
        <w:adjustRightInd w:val="0"/>
        <w:spacing w:after="0" w:line="240" w:lineRule="auto"/>
        <w:jc w:val="both"/>
        <w:rPr>
          <w:rFonts w:ascii="Arial" w:eastAsia="Calibri" w:hAnsi="Arial" w:cs="Arial"/>
          <w:sz w:val="23"/>
          <w:szCs w:val="23"/>
          <w:lang w:eastAsia="pt-BR"/>
        </w:rPr>
      </w:pPr>
      <w:r w:rsidRPr="00A95DDB">
        <w:rPr>
          <w:rFonts w:ascii="Arial" w:eastAsia="Calibri" w:hAnsi="Arial" w:cs="Arial"/>
          <w:sz w:val="23"/>
          <w:szCs w:val="23"/>
          <w:lang w:eastAsia="pt-BR"/>
        </w:rPr>
        <w:t>1.2.2. O Estudo Técnico Preliminar;</w:t>
      </w:r>
    </w:p>
    <w:p w14:paraId="7CCA8C90" w14:textId="77777777" w:rsidR="009E3F77" w:rsidRPr="00A95DDB" w:rsidRDefault="009E3F77" w:rsidP="009E3F77">
      <w:pPr>
        <w:autoSpaceDE w:val="0"/>
        <w:autoSpaceDN w:val="0"/>
        <w:adjustRightInd w:val="0"/>
        <w:spacing w:after="0" w:line="240" w:lineRule="auto"/>
        <w:jc w:val="both"/>
        <w:rPr>
          <w:rFonts w:ascii="Arial" w:eastAsia="Calibri" w:hAnsi="Arial" w:cs="Arial"/>
          <w:sz w:val="23"/>
          <w:szCs w:val="23"/>
          <w:lang w:eastAsia="pt-BR"/>
        </w:rPr>
      </w:pPr>
      <w:r w:rsidRPr="00A95DDB">
        <w:rPr>
          <w:rFonts w:ascii="Arial" w:eastAsia="Calibri" w:hAnsi="Arial" w:cs="Arial"/>
          <w:sz w:val="23"/>
          <w:szCs w:val="23"/>
          <w:lang w:eastAsia="pt-BR"/>
        </w:rPr>
        <w:t>1.2.3. O Termo de Inexigibilidade de Licitação;</w:t>
      </w:r>
    </w:p>
    <w:p w14:paraId="017F7BC2" w14:textId="77777777" w:rsidR="009E3F77" w:rsidRPr="00A95DDB" w:rsidRDefault="009E3F77" w:rsidP="009E3F77">
      <w:pPr>
        <w:autoSpaceDE w:val="0"/>
        <w:autoSpaceDN w:val="0"/>
        <w:adjustRightInd w:val="0"/>
        <w:spacing w:after="0" w:line="240" w:lineRule="auto"/>
        <w:jc w:val="both"/>
        <w:rPr>
          <w:rFonts w:ascii="Arial" w:eastAsia="Calibri" w:hAnsi="Arial" w:cs="Arial"/>
          <w:sz w:val="23"/>
          <w:szCs w:val="23"/>
          <w:lang w:eastAsia="pt-BR"/>
        </w:rPr>
      </w:pPr>
      <w:r w:rsidRPr="00A95DDB">
        <w:rPr>
          <w:rFonts w:ascii="Arial" w:eastAsia="Calibri" w:hAnsi="Arial" w:cs="Arial"/>
          <w:sz w:val="23"/>
          <w:szCs w:val="23"/>
          <w:lang w:eastAsia="pt-BR"/>
        </w:rPr>
        <w:t>1.2.4. Eventuais anexos dos documentos supracitados.</w:t>
      </w:r>
    </w:p>
    <w:p w14:paraId="12BB764E" w14:textId="77777777" w:rsidR="009E3F77" w:rsidRPr="00A95DDB" w:rsidRDefault="009E3F77" w:rsidP="009E3F77">
      <w:pPr>
        <w:autoSpaceDE w:val="0"/>
        <w:autoSpaceDN w:val="0"/>
        <w:adjustRightInd w:val="0"/>
        <w:spacing w:after="0" w:line="240" w:lineRule="auto"/>
        <w:jc w:val="both"/>
        <w:rPr>
          <w:rFonts w:ascii="Arial" w:eastAsia="Calibri" w:hAnsi="Arial" w:cs="Arial"/>
          <w:b/>
          <w:bCs/>
          <w:sz w:val="23"/>
          <w:szCs w:val="23"/>
          <w:highlight w:val="yellow"/>
          <w:lang w:eastAsia="pt-BR"/>
        </w:rPr>
      </w:pPr>
    </w:p>
    <w:p w14:paraId="3CB643FC" w14:textId="77777777" w:rsidR="009E3F77" w:rsidRPr="00A95DDB" w:rsidRDefault="009E3F77" w:rsidP="009E3F77">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95DDB">
        <w:rPr>
          <w:rFonts w:ascii="Arial" w:eastAsia="Times New Roman" w:hAnsi="Arial" w:cs="Arial"/>
          <w:b/>
          <w:bCs/>
          <w:color w:val="000000" w:themeColor="text1"/>
          <w:sz w:val="23"/>
          <w:szCs w:val="23"/>
          <w:u w:val="single"/>
          <w:lang w:eastAsia="zh-CN"/>
        </w:rPr>
        <w:t>CLÁUSULA SEGUNDA: FUNDAMENTO JURÍDICO</w:t>
      </w:r>
    </w:p>
    <w:p w14:paraId="375B01FC" w14:textId="0B5F64E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2.1. Este contrato decorre do Processo Administrativo n° </w:t>
      </w:r>
      <w:r w:rsidR="00A95DDB" w:rsidRPr="00A95DDB">
        <w:rPr>
          <w:rFonts w:ascii="Arial" w:eastAsia="Times New Roman" w:hAnsi="Arial" w:cs="Arial"/>
          <w:color w:val="000000" w:themeColor="text1"/>
          <w:sz w:val="23"/>
          <w:szCs w:val="23"/>
          <w:lang w:eastAsia="zh-CN"/>
        </w:rPr>
        <w:t>4049</w:t>
      </w:r>
      <w:r w:rsidRPr="00A95DDB">
        <w:rPr>
          <w:rFonts w:ascii="Arial" w:eastAsia="Times New Roman" w:hAnsi="Arial" w:cs="Arial"/>
          <w:color w:val="000000" w:themeColor="text1"/>
          <w:sz w:val="23"/>
          <w:szCs w:val="23"/>
          <w:lang w:eastAsia="zh-CN"/>
        </w:rPr>
        <w:t>/2024, fundamentado em inexigibilidade de licitação, na forma do disposto no Artigo 74, V, da Lei Federal n° 14.133, de 1º de abril de 2021, no Decreto municipal nº 2099/2024 e na Lei Federal n. 8.245/1991 e suas alterações posteriores, mediante as seguintes cláusulas e condições, aplicando-se supletivamente as disposições de Direito Privado, no que couber.</w:t>
      </w:r>
    </w:p>
    <w:p w14:paraId="39680434"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p>
    <w:p w14:paraId="667608B1" w14:textId="77777777" w:rsidR="009E3F77" w:rsidRPr="00A95DDB" w:rsidRDefault="009E3F77" w:rsidP="009E3F77">
      <w:pPr>
        <w:spacing w:after="0" w:line="240" w:lineRule="auto"/>
        <w:jc w:val="both"/>
        <w:rPr>
          <w:rFonts w:ascii="Arial" w:eastAsia="Times New Roman" w:hAnsi="Arial" w:cs="Arial"/>
          <w:b/>
          <w:bCs/>
          <w:color w:val="000000" w:themeColor="text1"/>
          <w:sz w:val="23"/>
          <w:szCs w:val="23"/>
          <w:u w:val="single"/>
          <w:lang w:eastAsia="zh-CN"/>
        </w:rPr>
      </w:pPr>
      <w:r w:rsidRPr="00A95DDB">
        <w:rPr>
          <w:rFonts w:ascii="Arial" w:eastAsia="Times New Roman" w:hAnsi="Arial" w:cs="Arial"/>
          <w:b/>
          <w:bCs/>
          <w:color w:val="000000" w:themeColor="text1"/>
          <w:sz w:val="23"/>
          <w:szCs w:val="23"/>
          <w:u w:val="single"/>
          <w:lang w:eastAsia="zh-CN"/>
        </w:rPr>
        <w:t>CLÁUSULA TERCEIRA: ORIGEM DO CONTRATO</w:t>
      </w:r>
    </w:p>
    <w:p w14:paraId="59386B48" w14:textId="7A678A34"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color w:val="000000" w:themeColor="text1"/>
          <w:sz w:val="23"/>
          <w:szCs w:val="23"/>
          <w:lang w:eastAsia="zh-CN"/>
        </w:rPr>
        <w:t xml:space="preserve">3.1. O presente contrato decorre de Processo de Inexigibilidade, processado sob o </w:t>
      </w:r>
      <w:r w:rsidRPr="00A95DDB">
        <w:rPr>
          <w:rFonts w:ascii="Arial" w:eastAsia="Times New Roman" w:hAnsi="Arial" w:cs="Arial"/>
          <w:sz w:val="23"/>
          <w:szCs w:val="23"/>
          <w:lang w:eastAsia="zh-CN"/>
        </w:rPr>
        <w:t>nº 0</w:t>
      </w:r>
      <w:r w:rsidR="00A95DDB" w:rsidRPr="00A95DDB">
        <w:rPr>
          <w:rFonts w:ascii="Arial" w:eastAsia="Times New Roman" w:hAnsi="Arial" w:cs="Arial"/>
          <w:sz w:val="23"/>
          <w:szCs w:val="23"/>
          <w:lang w:eastAsia="zh-CN"/>
        </w:rPr>
        <w:t>3</w:t>
      </w:r>
      <w:r w:rsidRPr="00A95DDB">
        <w:rPr>
          <w:rFonts w:ascii="Arial" w:eastAsia="Times New Roman" w:hAnsi="Arial" w:cs="Arial"/>
          <w:sz w:val="23"/>
          <w:szCs w:val="23"/>
          <w:lang w:eastAsia="zh-CN"/>
        </w:rPr>
        <w:t>/2024 FMS.</w:t>
      </w:r>
    </w:p>
    <w:p w14:paraId="64788218" w14:textId="77777777" w:rsidR="009E3F77" w:rsidRPr="00A95DDB" w:rsidRDefault="009E3F77" w:rsidP="009E3F77">
      <w:pPr>
        <w:spacing w:after="0" w:line="240" w:lineRule="auto"/>
        <w:jc w:val="both"/>
        <w:rPr>
          <w:rFonts w:ascii="Arial" w:eastAsia="Times New Roman" w:hAnsi="Arial" w:cs="Arial"/>
          <w:b/>
          <w:bCs/>
          <w:color w:val="000000" w:themeColor="text1"/>
          <w:sz w:val="23"/>
          <w:szCs w:val="23"/>
          <w:u w:val="single"/>
          <w:lang w:eastAsia="zh-CN"/>
        </w:rPr>
      </w:pPr>
    </w:p>
    <w:p w14:paraId="7E23C3DB" w14:textId="77777777" w:rsidR="009E3F77" w:rsidRPr="00A95DDB" w:rsidRDefault="009E3F77" w:rsidP="009E3F77">
      <w:pPr>
        <w:spacing w:after="0" w:line="240" w:lineRule="auto"/>
        <w:jc w:val="both"/>
        <w:rPr>
          <w:rFonts w:ascii="Arial" w:eastAsia="Times New Roman" w:hAnsi="Arial" w:cs="Arial"/>
          <w:b/>
          <w:bCs/>
          <w:color w:val="000000" w:themeColor="text1"/>
          <w:sz w:val="23"/>
          <w:szCs w:val="23"/>
          <w:u w:val="single"/>
          <w:lang w:eastAsia="zh-CN"/>
        </w:rPr>
      </w:pPr>
      <w:r w:rsidRPr="00A95DDB">
        <w:rPr>
          <w:rFonts w:ascii="Arial" w:eastAsia="Times New Roman" w:hAnsi="Arial" w:cs="Arial"/>
          <w:b/>
          <w:bCs/>
          <w:color w:val="000000" w:themeColor="text1"/>
          <w:sz w:val="23"/>
          <w:szCs w:val="23"/>
          <w:u w:val="single"/>
          <w:lang w:eastAsia="zh-CN"/>
        </w:rPr>
        <w:t>CLÁUSULA QUARTA: DO PRAZO</w:t>
      </w:r>
    </w:p>
    <w:p w14:paraId="3D1DB367"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4.1. A vigência do contrato será de 12 (doze) meses, contados a partir da assinatura do mesmo, junto a sua publicação, nos termos do art. 3° da Lei n. 8.245/91.</w:t>
      </w:r>
    </w:p>
    <w:p w14:paraId="37784039"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4.2. O prazo de vigência poderá ser prorrogado, quando verificado que o objeto não será concluído no período firmado, mediante solicitação protocolada, devidamente justificada e autorizada pela autoridade competente, caso em que deverá a Administração providenciar a readequação do cronograma fixado para o contrato, ressalvadas as providências cabíveis no caso de culpa da CONTRATADA, previstas neste instrumento.</w:t>
      </w:r>
    </w:p>
    <w:p w14:paraId="1B44A154"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4.3. A prorrogação do contrato deverá ser promovida mediante celebração de termo aditivo.</w:t>
      </w:r>
    </w:p>
    <w:p w14:paraId="32EDC618"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p>
    <w:p w14:paraId="66D5517F" w14:textId="77777777" w:rsidR="009E3F77" w:rsidRPr="00A95DDB" w:rsidRDefault="009E3F77" w:rsidP="009E3F77">
      <w:pPr>
        <w:spacing w:after="0" w:line="240" w:lineRule="auto"/>
        <w:jc w:val="both"/>
        <w:rPr>
          <w:rFonts w:ascii="Arial" w:eastAsia="Times New Roman" w:hAnsi="Arial" w:cs="Arial"/>
          <w:b/>
          <w:bCs/>
          <w:color w:val="000000" w:themeColor="text1"/>
          <w:sz w:val="23"/>
          <w:szCs w:val="23"/>
          <w:u w:val="single"/>
          <w:lang w:eastAsia="zh-CN"/>
        </w:rPr>
      </w:pPr>
      <w:r w:rsidRPr="00A95DDB">
        <w:rPr>
          <w:rFonts w:ascii="Arial" w:eastAsia="Times New Roman" w:hAnsi="Arial" w:cs="Arial"/>
          <w:b/>
          <w:bCs/>
          <w:color w:val="000000" w:themeColor="text1"/>
          <w:sz w:val="23"/>
          <w:szCs w:val="23"/>
          <w:u w:val="single"/>
          <w:lang w:eastAsia="zh-CN"/>
        </w:rPr>
        <w:t>CLÁUSULA QUINTA: PREÇO</w:t>
      </w:r>
    </w:p>
    <w:p w14:paraId="20A4599E" w14:textId="6F8BA9A2" w:rsidR="009E3F77" w:rsidRPr="00A95DDB" w:rsidRDefault="009E3F77" w:rsidP="009E3F77">
      <w:pPr>
        <w:spacing w:after="0" w:line="276" w:lineRule="auto"/>
        <w:jc w:val="both"/>
        <w:rPr>
          <w:rFonts w:ascii="Arial" w:eastAsia="Times New Roman" w:hAnsi="Arial" w:cs="Arial"/>
          <w:sz w:val="23"/>
          <w:szCs w:val="23"/>
          <w:lang w:eastAsia="pt-BR"/>
        </w:rPr>
      </w:pPr>
      <w:r w:rsidRPr="00A95DDB">
        <w:rPr>
          <w:rFonts w:ascii="Arial" w:eastAsia="Times New Roman" w:hAnsi="Arial" w:cs="Arial"/>
          <w:color w:val="000000" w:themeColor="text1"/>
          <w:sz w:val="23"/>
          <w:szCs w:val="23"/>
          <w:lang w:eastAsia="zh-CN"/>
        </w:rPr>
        <w:t xml:space="preserve">5.1. </w:t>
      </w:r>
      <w:r w:rsidRPr="00A95DDB">
        <w:rPr>
          <w:rFonts w:ascii="Arial" w:eastAsia="Times New Roman" w:hAnsi="Arial" w:cs="Arial"/>
          <w:sz w:val="23"/>
          <w:szCs w:val="23"/>
          <w:lang w:eastAsia="pt-BR"/>
        </w:rPr>
        <w:t xml:space="preserve">O valor mensal convencionado é de </w:t>
      </w:r>
      <w:r w:rsidRPr="00A95DDB">
        <w:rPr>
          <w:rFonts w:ascii="Arial" w:eastAsia="Times New Roman" w:hAnsi="Arial" w:cs="Arial"/>
          <w:b/>
          <w:sz w:val="23"/>
          <w:szCs w:val="23"/>
          <w:lang w:eastAsia="pt-BR"/>
        </w:rPr>
        <w:t xml:space="preserve">R$ </w:t>
      </w:r>
      <w:r w:rsidR="00A95DDB" w:rsidRPr="00A95DDB">
        <w:rPr>
          <w:rFonts w:ascii="Arial" w:eastAsia="Times New Roman" w:hAnsi="Arial" w:cs="Arial"/>
          <w:b/>
          <w:sz w:val="23"/>
          <w:szCs w:val="23"/>
          <w:lang w:eastAsia="pt-BR"/>
        </w:rPr>
        <w:t>1.500,00</w:t>
      </w:r>
      <w:r w:rsidRPr="00A95DDB">
        <w:rPr>
          <w:rFonts w:ascii="Arial" w:eastAsia="Times New Roman" w:hAnsi="Arial" w:cs="Arial"/>
          <w:sz w:val="23"/>
          <w:szCs w:val="23"/>
          <w:lang w:eastAsia="pt-BR"/>
        </w:rPr>
        <w:t xml:space="preserve"> </w:t>
      </w:r>
      <w:r w:rsidRPr="00A95DDB">
        <w:rPr>
          <w:rFonts w:ascii="Arial" w:eastAsia="Times New Roman" w:hAnsi="Arial" w:cs="Arial"/>
          <w:b/>
          <w:bCs/>
          <w:sz w:val="23"/>
          <w:szCs w:val="23"/>
          <w:lang w:eastAsia="pt-BR"/>
        </w:rPr>
        <w:t>(</w:t>
      </w:r>
      <w:r w:rsidR="00A95DDB" w:rsidRPr="00A95DDB">
        <w:rPr>
          <w:rFonts w:ascii="Arial" w:eastAsia="Times New Roman" w:hAnsi="Arial" w:cs="Arial"/>
          <w:b/>
          <w:bCs/>
          <w:sz w:val="23"/>
          <w:szCs w:val="23"/>
          <w:lang w:eastAsia="pt-BR"/>
        </w:rPr>
        <w:t>um mil e quinhentos</w:t>
      </w:r>
      <w:r w:rsidRPr="00A95DDB">
        <w:rPr>
          <w:rFonts w:ascii="Arial" w:eastAsia="Times New Roman" w:hAnsi="Arial" w:cs="Arial"/>
          <w:b/>
          <w:bCs/>
          <w:sz w:val="23"/>
          <w:szCs w:val="23"/>
          <w:lang w:eastAsia="pt-BR"/>
        </w:rPr>
        <w:t xml:space="preserve"> reais)</w:t>
      </w:r>
      <w:r w:rsidRPr="00A95DDB">
        <w:rPr>
          <w:rFonts w:ascii="Arial" w:eastAsia="Times New Roman" w:hAnsi="Arial" w:cs="Arial"/>
          <w:sz w:val="23"/>
          <w:szCs w:val="23"/>
          <w:lang w:eastAsia="pt-BR"/>
        </w:rPr>
        <w:t xml:space="preserve">, totalizando o valor global de </w:t>
      </w:r>
      <w:r w:rsidRPr="00A95DDB">
        <w:rPr>
          <w:rFonts w:ascii="Arial" w:eastAsia="Calibri" w:hAnsi="Arial" w:cs="Arial"/>
          <w:b/>
          <w:sz w:val="23"/>
          <w:szCs w:val="23"/>
          <w:lang w:eastAsia="pt-BR"/>
        </w:rPr>
        <w:t xml:space="preserve">R$ </w:t>
      </w:r>
      <w:r w:rsidR="00A95DDB" w:rsidRPr="00A95DDB">
        <w:rPr>
          <w:rFonts w:ascii="Arial" w:eastAsia="Calibri" w:hAnsi="Arial" w:cs="Arial"/>
          <w:b/>
          <w:sz w:val="23"/>
          <w:szCs w:val="23"/>
          <w:lang w:eastAsia="pt-BR"/>
        </w:rPr>
        <w:t>18.000,00</w:t>
      </w:r>
      <w:r w:rsidRPr="00A95DDB">
        <w:rPr>
          <w:rFonts w:ascii="Arial" w:eastAsia="Calibri" w:hAnsi="Arial" w:cs="Arial"/>
          <w:sz w:val="23"/>
          <w:szCs w:val="23"/>
          <w:lang w:eastAsia="pt-BR"/>
        </w:rPr>
        <w:t xml:space="preserve"> </w:t>
      </w:r>
      <w:r w:rsidRPr="00A95DDB">
        <w:rPr>
          <w:rFonts w:ascii="Arial" w:eastAsia="Calibri" w:hAnsi="Arial" w:cs="Arial"/>
          <w:b/>
          <w:bCs/>
          <w:sz w:val="23"/>
          <w:szCs w:val="23"/>
          <w:lang w:eastAsia="pt-BR"/>
        </w:rPr>
        <w:t>(</w:t>
      </w:r>
      <w:r w:rsidR="00A95DDB" w:rsidRPr="00A95DDB">
        <w:rPr>
          <w:rFonts w:ascii="Arial" w:eastAsia="Calibri" w:hAnsi="Arial" w:cs="Arial"/>
          <w:b/>
          <w:bCs/>
          <w:sz w:val="23"/>
          <w:szCs w:val="23"/>
          <w:lang w:eastAsia="pt-BR"/>
        </w:rPr>
        <w:t>dezoito mil reais</w:t>
      </w:r>
      <w:r w:rsidRPr="00A95DDB">
        <w:rPr>
          <w:rFonts w:ascii="Arial" w:eastAsia="Calibri" w:hAnsi="Arial" w:cs="Arial"/>
          <w:b/>
          <w:bCs/>
          <w:sz w:val="23"/>
          <w:szCs w:val="23"/>
          <w:lang w:eastAsia="pt-BR"/>
        </w:rPr>
        <w:t>).</w:t>
      </w:r>
    </w:p>
    <w:p w14:paraId="5C0ECC20"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5.2.</w:t>
      </w:r>
      <w:r w:rsidRPr="00A95DDB">
        <w:rPr>
          <w:rFonts w:ascii="Arial" w:eastAsia="Times New Roman" w:hAnsi="Arial" w:cs="Arial"/>
          <w:b/>
          <w:bCs/>
          <w:color w:val="000000" w:themeColor="text1"/>
          <w:sz w:val="23"/>
          <w:szCs w:val="23"/>
          <w:lang w:eastAsia="zh-CN"/>
        </w:rPr>
        <w:t xml:space="preserve"> </w:t>
      </w:r>
      <w:r w:rsidRPr="00A95DDB">
        <w:rPr>
          <w:rFonts w:ascii="Arial" w:eastAsia="Times New Roman" w:hAnsi="Arial" w:cs="Arial"/>
          <w:color w:val="000000" w:themeColor="text1"/>
          <w:sz w:val="23"/>
          <w:szCs w:val="23"/>
          <w:lang w:eastAsia="zh-CN"/>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EB9DDA3"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p>
    <w:p w14:paraId="7B789346" w14:textId="77777777" w:rsidR="009E3F77" w:rsidRPr="00A95DDB" w:rsidRDefault="009E3F77" w:rsidP="009E3F77">
      <w:pPr>
        <w:spacing w:after="0" w:line="240" w:lineRule="auto"/>
        <w:jc w:val="both"/>
        <w:rPr>
          <w:rFonts w:ascii="Arial" w:eastAsia="Times New Roman" w:hAnsi="Arial" w:cs="Arial"/>
          <w:b/>
          <w:bCs/>
          <w:color w:val="000000" w:themeColor="text1"/>
          <w:sz w:val="23"/>
          <w:szCs w:val="23"/>
          <w:u w:val="single"/>
          <w:lang w:eastAsia="zh-CN"/>
        </w:rPr>
      </w:pPr>
      <w:r w:rsidRPr="00A95DDB">
        <w:rPr>
          <w:rFonts w:ascii="Arial" w:eastAsia="Times New Roman" w:hAnsi="Arial" w:cs="Arial"/>
          <w:b/>
          <w:bCs/>
          <w:color w:val="000000" w:themeColor="text1"/>
          <w:sz w:val="23"/>
          <w:szCs w:val="23"/>
          <w:u w:val="single"/>
          <w:lang w:eastAsia="zh-CN"/>
        </w:rPr>
        <w:t>CLÁUSULA SEXTA: DOS CRITÉRIOS DE PAGAMENTO</w:t>
      </w:r>
    </w:p>
    <w:p w14:paraId="5BB6D532" w14:textId="468AD287" w:rsidR="009E3F77" w:rsidRPr="00A95DDB" w:rsidRDefault="009E3F77" w:rsidP="009E3F77">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6.1. O valor do aluguel </w:t>
      </w:r>
      <w:r w:rsidR="00A95DDB" w:rsidRPr="00A95DDB">
        <w:rPr>
          <w:rFonts w:ascii="Arial" w:eastAsia="Times New Roman" w:hAnsi="Arial" w:cs="Arial"/>
          <w:color w:val="000000" w:themeColor="text1"/>
          <w:sz w:val="23"/>
          <w:szCs w:val="23"/>
          <w:lang w:eastAsia="zh-CN"/>
        </w:rPr>
        <w:t>deverá</w:t>
      </w:r>
      <w:r w:rsidRPr="00A95DDB">
        <w:rPr>
          <w:rFonts w:ascii="Arial" w:eastAsia="Times New Roman" w:hAnsi="Arial" w:cs="Arial"/>
          <w:color w:val="000000" w:themeColor="text1"/>
          <w:sz w:val="23"/>
          <w:szCs w:val="23"/>
          <w:lang w:eastAsia="zh-CN"/>
        </w:rPr>
        <w:t xml:space="preserve"> ser pago aos LOCADORES, mensalmente, ao gestor do contrato e será efetuado pelo LOCATÁRIO até o vigésimo dia do mês subsequente ao de utilização do imóvel, desde que apresentada oportunamente a conta respectiva pelos LOCADORES e concluído o processo próprio para solução de débitos de responsabilidade do LOCATÁRIO, o mesmo será realizado, mediante ordem bancária creditada na conta corrente a ser informada pelos LOCADORES.</w:t>
      </w:r>
    </w:p>
    <w:p w14:paraId="101DC73E" w14:textId="77777777" w:rsidR="009E3F77" w:rsidRPr="00A95DDB" w:rsidRDefault="009E3F77" w:rsidP="009E3F77">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6.2. A realização dos pagamentos mensais está condicionada ao adimplemento da prestação, através da oposição de atesto, certificando o funcionamento do objeto.</w:t>
      </w:r>
    </w:p>
    <w:p w14:paraId="61715476" w14:textId="77777777" w:rsidR="009E3F77" w:rsidRPr="00A95DDB" w:rsidRDefault="009E3F77" w:rsidP="009E3F77">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3"/>
          <w:szCs w:val="23"/>
          <w:lang w:eastAsia="zh-CN"/>
        </w:rPr>
      </w:pPr>
    </w:p>
    <w:p w14:paraId="53C222E2"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b/>
          <w:bCs/>
          <w:color w:val="000000" w:themeColor="text1"/>
          <w:sz w:val="23"/>
          <w:szCs w:val="23"/>
          <w:u w:val="single"/>
          <w:lang w:eastAsia="zh-CN"/>
        </w:rPr>
        <w:t>CLÁUSULA SÉTIMA: DO REAJUSTE</w:t>
      </w:r>
    </w:p>
    <w:p w14:paraId="59C12725"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7.1. Será admitido o reajuste do preço do aluguel da locação com prazo de vigência igual ou superior a doze meses, mediante a aplicação do Índice de Preços para o Consumidor Amplo – IPCA, medido mensalmente pelo Instituto Brasileiro de Geografia e Estatística – IBGE, desde que seja observado o interregno mínimo de 1 (um) ano, contado da data da assinatura do contrato, para o primeiro reajuste, ou da data do último reajuste, para os subsequentes.</w:t>
      </w:r>
    </w:p>
    <w:p w14:paraId="6207979F"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7.2. Se a variação do indexador adotado implicar em reajuste desproporcional ao preço médio de mercado para a presente locação, o LOCADOR aceitará negociar a adoção de preço compatível ao mercado de locação do município em que se situa o imóvel. </w:t>
      </w:r>
    </w:p>
    <w:p w14:paraId="58509F27"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7.3. Caso o LOCADOR não solicite o reajuste até a data da prorrogação contratual, na pactuação do termo aditivo, ocorrerá a preclusão do direito, e nova solicitação só poderá ser pleiteada após o decurso de novo interregno mínimo de 1 (um) ano, contado na forma prevista neste contrato.</w:t>
      </w:r>
    </w:p>
    <w:p w14:paraId="27F686B1"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7.4. O reajuste será formalizado no mesmo instrumento de prorrogação da vigência do contrato, ou por apostilamento, caso realizado em outra ocasião.</w:t>
      </w:r>
    </w:p>
    <w:p w14:paraId="379A00E1"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A2083A4" w14:textId="77777777" w:rsidR="009E3F77" w:rsidRPr="00A95DDB" w:rsidRDefault="009E3F77" w:rsidP="009E3F77">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95DDB">
        <w:rPr>
          <w:rFonts w:ascii="Arial" w:eastAsia="Times New Roman" w:hAnsi="Arial" w:cs="Arial"/>
          <w:b/>
          <w:bCs/>
          <w:color w:val="000000" w:themeColor="text1"/>
          <w:sz w:val="23"/>
          <w:szCs w:val="23"/>
          <w:u w:val="single"/>
          <w:lang w:eastAsia="zh-CN"/>
        </w:rPr>
        <w:t>CLÁUSULA OITAVA – DAS INFRAÇÕES E SANÇOES ADMINISTRATIVAS</w:t>
      </w:r>
    </w:p>
    <w:p w14:paraId="3C67047E"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8.1. A inexecução total ou parcial do contrato, ou o descumprimento de qualquer dos deveres elencados no contrato, sujeitará o LOCADOR, garantidos o contraditório e a ampla defesa, sem prejuízo da responsabilidade civil e criminal e nos moldes da Lei 14.133/2021, ou outro que venha a substituí-lo, às penalidades de:</w:t>
      </w:r>
    </w:p>
    <w:p w14:paraId="57242E6A"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lastRenderedPageBreak/>
        <w:t>a. Advertência em razão do descumprimento, de pequena relevância, de obrigação legal ou infração à lei, quando não se justificar a aplicação de sanção mais grave ou inexecução parcial de obrigação contratual principal ou acessória de pequena relevância, quando não se justificar a aplicação de sanção mais grave;</w:t>
      </w:r>
    </w:p>
    <w:p w14:paraId="22156DC7"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b. Multa;</w:t>
      </w:r>
    </w:p>
    <w:p w14:paraId="2B2139E5"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c. Impedimento de licitar e contratar, pelo prazo de até três anos, a ser aplicada quando não se justificar a imposição de outra mais grave, àquele que:</w:t>
      </w:r>
    </w:p>
    <w:p w14:paraId="34B6CE6C"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I. Der causa à inexecução parcial do contrato, que supere a gravidade daquela prevista no inciso I do art. 155 da Lei federal nº 14.133/21, ou que cause grave dano à administração, ao funcionamento dos serviços públicos ou ao interesse coletivo;</w:t>
      </w:r>
    </w:p>
    <w:p w14:paraId="6419E2F8"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II. Der causa à inexecução total do contrato;</w:t>
      </w:r>
    </w:p>
    <w:p w14:paraId="502526D9"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III. Não manter a proposta, salvo em decorrência de fato superveniente devidamente justificado; </w:t>
      </w:r>
    </w:p>
    <w:p w14:paraId="3C503C1B"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IV. Ensejar o retardamento da execução ou da entrega do objeto da contratação sem motivo justificado.</w:t>
      </w:r>
    </w:p>
    <w:p w14:paraId="6D1EB983"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d. Declaração de inidoneidade para licitar ou contratar com a Administração Pública, no caso de: </w:t>
      </w:r>
    </w:p>
    <w:p w14:paraId="4EBFD166"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I. O LOCADOR apresentar declaração ou documentação falsa para a celebração do contrato ou em sua execução;</w:t>
      </w:r>
    </w:p>
    <w:p w14:paraId="2FD104CE"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II. o LOCADOR fraudar a ou praticar ato fraudulento na execução do contrato;</w:t>
      </w:r>
    </w:p>
    <w:p w14:paraId="00B22902"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III. Comportar-se de modo inidôneo ou cometer fraude de qualquer natureza; </w:t>
      </w:r>
    </w:p>
    <w:p w14:paraId="4DDBE0DB"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IV. Praticar atos ilícitos com vistas a frustrar os objetivos do contrato;</w:t>
      </w:r>
    </w:p>
    <w:p w14:paraId="074E1511"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V. Praticar ato lesivo previsto no art. 5º da Lei Federal n. 12.846/2013</w:t>
      </w:r>
    </w:p>
    <w:p w14:paraId="598AF482"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8.1.1. A penalidade de multa pode ser aplicada cumulativamente com as demais sanções.</w:t>
      </w:r>
    </w:p>
    <w:p w14:paraId="42D2F612"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8.1.2. Na aplicação das sanções serão considerados:</w:t>
      </w:r>
    </w:p>
    <w:p w14:paraId="3236D806"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I- a natureza e a gravidade da infração cometida;</w:t>
      </w:r>
    </w:p>
    <w:p w14:paraId="7D0A1C97"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II- </w:t>
      </w:r>
      <w:proofErr w:type="gramStart"/>
      <w:r w:rsidRPr="00A95DDB">
        <w:rPr>
          <w:rFonts w:ascii="Arial" w:eastAsia="Times New Roman" w:hAnsi="Arial" w:cs="Arial"/>
          <w:color w:val="000000" w:themeColor="text1"/>
          <w:sz w:val="23"/>
          <w:szCs w:val="23"/>
          <w:lang w:eastAsia="zh-CN"/>
        </w:rPr>
        <w:t>as</w:t>
      </w:r>
      <w:proofErr w:type="gramEnd"/>
      <w:r w:rsidRPr="00A95DDB">
        <w:rPr>
          <w:rFonts w:ascii="Arial" w:eastAsia="Times New Roman" w:hAnsi="Arial" w:cs="Arial"/>
          <w:color w:val="000000" w:themeColor="text1"/>
          <w:sz w:val="23"/>
          <w:szCs w:val="23"/>
          <w:lang w:eastAsia="zh-CN"/>
        </w:rPr>
        <w:t xml:space="preserve"> peculiaridades do caso concreto;</w:t>
      </w:r>
    </w:p>
    <w:p w14:paraId="07F7D8D3"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III- as circunstâncias agravantes ou atenuantes; </w:t>
      </w:r>
    </w:p>
    <w:p w14:paraId="4A45D5D1"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IV- </w:t>
      </w:r>
      <w:proofErr w:type="gramStart"/>
      <w:r w:rsidRPr="00A95DDB">
        <w:rPr>
          <w:rFonts w:ascii="Arial" w:eastAsia="Times New Roman" w:hAnsi="Arial" w:cs="Arial"/>
          <w:color w:val="000000" w:themeColor="text1"/>
          <w:sz w:val="23"/>
          <w:szCs w:val="23"/>
          <w:lang w:eastAsia="zh-CN"/>
        </w:rPr>
        <w:t>os</w:t>
      </w:r>
      <w:proofErr w:type="gramEnd"/>
      <w:r w:rsidRPr="00A95DDB">
        <w:rPr>
          <w:rFonts w:ascii="Arial" w:eastAsia="Times New Roman" w:hAnsi="Arial" w:cs="Arial"/>
          <w:color w:val="000000" w:themeColor="text1"/>
          <w:sz w:val="23"/>
          <w:szCs w:val="23"/>
          <w:lang w:eastAsia="zh-CN"/>
        </w:rPr>
        <w:t xml:space="preserve"> danos que dela provierem para a Administração Pública;</w:t>
      </w:r>
      <w:r w:rsidRPr="00A95DDB">
        <w:rPr>
          <w:rFonts w:ascii="Arial" w:eastAsia="Times New Roman" w:hAnsi="Arial" w:cs="Arial"/>
          <w:color w:val="000000" w:themeColor="text1"/>
          <w:sz w:val="23"/>
          <w:szCs w:val="23"/>
          <w:lang w:eastAsia="zh-CN"/>
        </w:rPr>
        <w:tab/>
      </w:r>
    </w:p>
    <w:p w14:paraId="7428917C"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8.2. A aplicação de qualquer das penalidades previstas realizar-se-á em processo administrativo que assegurará o contraditório e a ampla defesa observando-se o procedimento previsto na Lei nº 14.133/2021 ou outro que vier a substituí-lo.</w:t>
      </w:r>
    </w:p>
    <w:p w14:paraId="536224BA"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8.3. As multas devidas e/ou prejuízos causados ao LOCATÁRIO serão deduzidos dos valores a serem pagos, ou recolhidos em favor do Município, ou ainda, quando for o caso, serão inscritos na Dívida Ativa do Município e cobrados judicialmente.</w:t>
      </w:r>
    </w:p>
    <w:p w14:paraId="7727D5F3"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8.4. As sanções aqui previstas são independentes entre si, podendo ser aplicadas isoladas ou, no caso das multas, cumulativamente, sem prejuízo de outras medidas cabíveis.</w:t>
      </w:r>
    </w:p>
    <w:p w14:paraId="4E47B813"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06D80DA" w14:textId="77777777" w:rsidR="009E3F77" w:rsidRPr="00A95DDB" w:rsidRDefault="009E3F77" w:rsidP="009E3F77">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A95DDB">
        <w:rPr>
          <w:rFonts w:ascii="Arial" w:eastAsia="Times New Roman" w:hAnsi="Arial" w:cs="Arial"/>
          <w:b/>
          <w:bCs/>
          <w:color w:val="000000" w:themeColor="text1"/>
          <w:sz w:val="23"/>
          <w:szCs w:val="23"/>
          <w:u w:val="single"/>
          <w:lang w:eastAsia="zh-CN"/>
        </w:rPr>
        <w:t>CLÁUSULA NONA: DA RESPONSABILIDADE DO LOCATÁRIO</w:t>
      </w:r>
    </w:p>
    <w:p w14:paraId="73F4FDC3"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9.1. o LOCATÁRIO obriga-se a:</w:t>
      </w:r>
    </w:p>
    <w:p w14:paraId="18B8287D"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9.1.1. Pagar o aluguel e os encargos da locação exigíveis, no prazo estipulado neste contrato; </w:t>
      </w:r>
    </w:p>
    <w:p w14:paraId="6BF6069E"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9.1.2. Servir-se do imóvel para o uso convencionado, compatível com a natureza deste e com o fim a que se destina, devendo conservá-lo como se seu fosse;</w:t>
      </w:r>
    </w:p>
    <w:p w14:paraId="5868D8FA"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9.1.3. Realizar, junto com o LOCADOR a vistoria do imóvel, por ocasião da entrega das chaves, para fins de verificação minuciosa do estado do imóvel, fazendo constar no Termo de Vistoria fornecido pelo LOCADOR os eventuais defeitos existentes;</w:t>
      </w:r>
    </w:p>
    <w:p w14:paraId="4958D925"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9.1.4. Manter o imóvel locado em condições de limpeza, de segurança e de utilização; </w:t>
      </w:r>
    </w:p>
    <w:p w14:paraId="708F309D"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9.1.5. Restituir o imóvel, finda a locação, nas condições em que o recebeu, conforme documento de descrição minuciosa elaborado quando da vistoria para entrega, salvo os desgastes e deteriorações decorrentes do uso normal. Alternativamente, poderá repassar ao Locador, desde que aceito por este, a importância correspondente ao orçamento elaborado pelo setor técnico da Administração, para fazer face aos reparos e reformas ali especificadas;</w:t>
      </w:r>
    </w:p>
    <w:p w14:paraId="4048DE83"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lastRenderedPageBreak/>
        <w:t>9.1.6. Comunicar ao LOCADOR qualquer dano ou defeito cuja reparação a este incumba, bem como as eventuais turbações de terceiros;</w:t>
      </w:r>
    </w:p>
    <w:p w14:paraId="468D1B96"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9.1.7. Consentir com a realização de reparos urgentes, a cargo do LOCADOR, assegurando-se o direito ao abatimento proporcional do aluguel, caso os reparos durem mais de dez dias, nos termos do artigo 26 da Lei n° 8.245, de 1991;</w:t>
      </w:r>
    </w:p>
    <w:p w14:paraId="2E6814B9"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9.1.8. Realizar o imediato reparo dos danos verificados no imóvel, ou nas suas instalações, provocados por seus agentes, funcionários ou visitantes autorizados;</w:t>
      </w:r>
    </w:p>
    <w:p w14:paraId="69EFBEC4"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9.1.9. Não modificar a forma externa ou interna do imóvel, sem o consentimento prévio e por escrito do LOCADOR;</w:t>
      </w:r>
    </w:p>
    <w:p w14:paraId="2D7662EF"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9.1.10. Comunicar ao LOCADOR o surgimento de qualquer dano ou defeito cuja reparação a este incumba, bem como as eventuais turbações de terceiros;</w:t>
      </w:r>
    </w:p>
    <w:p w14:paraId="31BE3CB9"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9.1.11. Entregar imediatamente ao LOCADOR os documentos de cobrança de tributos e encargos condominiais, cujo pagamento não seja de seu encargo, bem como qualquer intimação, multa ou exigência de autoridade pública, ainda que direcionada ao LOCATÁRIO;</w:t>
      </w:r>
    </w:p>
    <w:p w14:paraId="6A2C4D23"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9.1.12. Pagar as despesas de telefone, energia elétrica, gás (se houver), água e esgoto;</w:t>
      </w:r>
    </w:p>
    <w:p w14:paraId="40981FF1"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9.1.13. Permitir a vistoria do imóvel pelo LOCADOR ou por seus mandatários, mediante prévia combinação de dia e hora, bem como admitir que seja visitado e examinado por terceiros, na hipótese de sua alienação, quando não possuir interesse no exercício do direito de preferência de aquisição (artigo 27 da Lei nº 8.245, de 1991);</w:t>
      </w:r>
    </w:p>
    <w:p w14:paraId="270E2D6E"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9.1.14. Designar servidor responsável para acompanhamento e fiscalização do Contrato, que deverá ser o elemento de ligação entre as partes e de responder em nome do órgão pela relação técnica e administrativa entre as partes.</w:t>
      </w:r>
    </w:p>
    <w:p w14:paraId="65F1965F"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p>
    <w:p w14:paraId="0022AA4F" w14:textId="77777777" w:rsidR="009E3F77" w:rsidRPr="00A95DDB" w:rsidRDefault="009E3F77" w:rsidP="009E3F77">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A95DDB">
        <w:rPr>
          <w:rFonts w:ascii="Arial" w:eastAsia="Times New Roman" w:hAnsi="Arial" w:cs="Arial"/>
          <w:b/>
          <w:bCs/>
          <w:color w:val="000000" w:themeColor="text1"/>
          <w:sz w:val="23"/>
          <w:szCs w:val="23"/>
          <w:u w:val="single"/>
          <w:lang w:eastAsia="zh-CN"/>
        </w:rPr>
        <w:t>CLÁUSULA DÉCIMA: DA RESPONSABILIDADE DO LOCADOR</w:t>
      </w:r>
    </w:p>
    <w:p w14:paraId="4CEC4C79"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10.1. O LOCADOR obriga-se a:</w:t>
      </w:r>
    </w:p>
    <w:p w14:paraId="203EAB82"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10.1.1. Entregar o imóvel em perfeitas condições de uso para os fins a que se destina;</w:t>
      </w:r>
    </w:p>
    <w:p w14:paraId="1F464B28"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10.1.2. Fornecer declaração atestando que não pesa sobre o imóvel qualquer impedimento de ordem jurídica capaz de colocar em risco a locação, ou, caso exista algum impedimento, prestar os esclarecimentos cabíveis, inclusive com a juntada da documentação pertinente, para fins de avaliação por parte da Administração;</w:t>
      </w:r>
    </w:p>
    <w:p w14:paraId="66BE0875"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10.1.3. Garantir, durante o tempo da locação, o uso pacífico do imóvel;</w:t>
      </w:r>
    </w:p>
    <w:p w14:paraId="235762EC"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10.1.4. Manter, durante a locação, a forma e o destino do imóvel;</w:t>
      </w:r>
    </w:p>
    <w:p w14:paraId="6A7AB938"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10.1.5. Responder pelos vícios ou defeitos anteriores à locação;</w:t>
      </w:r>
    </w:p>
    <w:p w14:paraId="0120901C"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10.1.6. Realizar, junto com o LOCATÁRIO, a vistoria do imóvel por ocasião da entrega das chaves, para fins de verificação minuciosa do seu estado, fazendo constar no Termo de Vistoria, parte integrante deste contrato, os eventuais defeitos existentes; </w:t>
      </w:r>
    </w:p>
    <w:p w14:paraId="594531D3"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10.1.7. Responder pelos danos ao patrimônio do LOCATÁRIO decorrentes de seus atos, bem como de vícios e defeitos anteriores à locação, como desabamentos decorrentes de vícios redibitórios, incêndios provenientes de vícios pré-existentes na instalação elétrica </w:t>
      </w:r>
      <w:proofErr w:type="spellStart"/>
      <w:r w:rsidRPr="00A95DDB">
        <w:rPr>
          <w:rFonts w:ascii="Arial" w:eastAsia="Times New Roman" w:hAnsi="Arial" w:cs="Arial"/>
          <w:color w:val="000000" w:themeColor="text1"/>
          <w:sz w:val="23"/>
          <w:szCs w:val="23"/>
          <w:lang w:eastAsia="zh-CN"/>
        </w:rPr>
        <w:t>etc</w:t>
      </w:r>
      <w:proofErr w:type="spellEnd"/>
      <w:r w:rsidRPr="00A95DDB">
        <w:rPr>
          <w:rFonts w:ascii="Arial" w:eastAsia="Times New Roman" w:hAnsi="Arial" w:cs="Arial"/>
          <w:color w:val="000000" w:themeColor="text1"/>
          <w:sz w:val="23"/>
          <w:szCs w:val="23"/>
          <w:lang w:eastAsia="zh-CN"/>
        </w:rPr>
        <w:t xml:space="preserve">; </w:t>
      </w:r>
    </w:p>
    <w:p w14:paraId="4E955993"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10.1.8. Responder pelos débitos de qualquer natureza anteriores à locação;</w:t>
      </w:r>
    </w:p>
    <w:p w14:paraId="529A2D40"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10.1.9. Responder pelas obrigações tributárias incidentes sobre o imóvel, como impostos e taxas.</w:t>
      </w:r>
    </w:p>
    <w:p w14:paraId="7FC6C9B6"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10.1.11. </w:t>
      </w:r>
      <w:proofErr w:type="spellStart"/>
      <w:r w:rsidRPr="00A95DDB">
        <w:rPr>
          <w:rFonts w:ascii="Arial" w:eastAsia="Times New Roman" w:hAnsi="Arial" w:cs="Arial"/>
          <w:color w:val="000000" w:themeColor="text1"/>
          <w:sz w:val="23"/>
          <w:szCs w:val="23"/>
          <w:lang w:eastAsia="zh-CN"/>
        </w:rPr>
        <w:t>Fornecer</w:t>
      </w:r>
      <w:proofErr w:type="spellEnd"/>
      <w:r w:rsidRPr="00A95DDB">
        <w:rPr>
          <w:rFonts w:ascii="Arial" w:eastAsia="Times New Roman" w:hAnsi="Arial" w:cs="Arial"/>
          <w:color w:val="000000" w:themeColor="text1"/>
          <w:sz w:val="23"/>
          <w:szCs w:val="23"/>
          <w:lang w:eastAsia="zh-CN"/>
        </w:rPr>
        <w:t xml:space="preserve"> ao LOCATÁRIO recibo discriminando as importâncias pagas, vedada a quitação genérica;</w:t>
      </w:r>
    </w:p>
    <w:p w14:paraId="083546AD"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10.1.12. Pagar as taxas de administração imobiliária e de intermediações, se existirem;</w:t>
      </w:r>
    </w:p>
    <w:p w14:paraId="7EE5228D"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10.1.13. Entregar, em perfeito estado de funcionamento, os sistemas existentes (ar-condicionado, combate a incêndio, hidráulico, elétrica e outros porventura existentes);</w:t>
      </w:r>
    </w:p>
    <w:p w14:paraId="376B74E8"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 xml:space="preserve">10.1.14. Manter, durante a vigência do contrato, todas as condições de habilitação e qualificação exigidas para a contratação; </w:t>
      </w:r>
    </w:p>
    <w:p w14:paraId="3070C186"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10.1.15. Notificar o LOCATÁRIO, com antecedência mínima de 90 (noventa) dias do término da vigência do contrato, quando não houver interesse em prorrogar a locação;</w:t>
      </w:r>
    </w:p>
    <w:p w14:paraId="70BCF1F7"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lastRenderedPageBreak/>
        <w:t xml:space="preserve">10.1.16. Exibir ao LOCATÁRIO, quando solicitado, os comprovantes relativos às parcelas que estejam sendo exigidas; </w:t>
      </w:r>
    </w:p>
    <w:p w14:paraId="1B9B8B17"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10.1.17. Informar ao LOCATÁRIO quaisquer alterações na titularidade do imóvel, inclusive com a apresentação da documentação correspondente.</w:t>
      </w:r>
    </w:p>
    <w:p w14:paraId="3933BCA9"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0D967EE" w14:textId="77777777" w:rsidR="009E3F77" w:rsidRPr="00A95DDB" w:rsidRDefault="009E3F77" w:rsidP="009E3F77">
      <w:pPr>
        <w:tabs>
          <w:tab w:val="left" w:pos="0"/>
          <w:tab w:val="left" w:pos="1134"/>
        </w:tabs>
        <w:spacing w:after="0" w:line="240" w:lineRule="auto"/>
        <w:jc w:val="both"/>
        <w:rPr>
          <w:rFonts w:ascii="Arial" w:eastAsia="Times New Roman" w:hAnsi="Arial" w:cs="Arial"/>
          <w:sz w:val="23"/>
          <w:szCs w:val="23"/>
          <w:lang w:eastAsia="zh-CN"/>
        </w:rPr>
      </w:pPr>
      <w:r w:rsidRPr="00A95DDB">
        <w:rPr>
          <w:rFonts w:ascii="Arial" w:eastAsia="Times New Roman" w:hAnsi="Arial" w:cs="Arial"/>
          <w:b/>
          <w:bCs/>
          <w:sz w:val="23"/>
          <w:szCs w:val="23"/>
          <w:u w:val="single"/>
          <w:lang w:eastAsia="zh-CN"/>
        </w:rPr>
        <w:t>CLÁUSULA DÉCIMA PRIMEIRA: DOS RECURSOS</w:t>
      </w:r>
    </w:p>
    <w:p w14:paraId="7F74C257" w14:textId="77777777" w:rsidR="009E3F77" w:rsidRPr="00A95DDB" w:rsidRDefault="009E3F77" w:rsidP="009E3F77">
      <w:pPr>
        <w:spacing w:after="0" w:line="240" w:lineRule="auto"/>
        <w:jc w:val="both"/>
        <w:rPr>
          <w:rFonts w:ascii="Arial" w:eastAsia="Times New Roman" w:hAnsi="Arial" w:cs="Arial"/>
          <w:b/>
          <w:bCs/>
          <w:sz w:val="23"/>
          <w:szCs w:val="23"/>
          <w:u w:val="single"/>
          <w:lang w:eastAsia="zh-CN"/>
        </w:rPr>
      </w:pPr>
      <w:r w:rsidRPr="00A95DDB">
        <w:rPr>
          <w:rFonts w:ascii="Arial" w:eastAsia="Times New Roman" w:hAnsi="Arial" w:cs="Arial"/>
          <w:sz w:val="23"/>
          <w:szCs w:val="23"/>
          <w:lang w:eastAsia="zh-CN"/>
        </w:rPr>
        <w:t>11.1. As despesas em que importam a execução do presente contrato correrão pela seguinte dotação orçamentária:</w:t>
      </w:r>
    </w:p>
    <w:p w14:paraId="3D507C3E" w14:textId="77777777" w:rsidR="009E3F77" w:rsidRPr="00A95DDB" w:rsidRDefault="009E3F77" w:rsidP="009E3F77">
      <w:pPr>
        <w:tabs>
          <w:tab w:val="left" w:pos="5070"/>
        </w:tabs>
        <w:spacing w:after="0" w:line="240" w:lineRule="auto"/>
        <w:jc w:val="both"/>
        <w:rPr>
          <w:rFonts w:ascii="Arial" w:eastAsia="Times New Roman" w:hAnsi="Arial" w:cs="Arial"/>
          <w:b/>
          <w:bCs/>
          <w:sz w:val="23"/>
          <w:szCs w:val="23"/>
          <w:lang w:eastAsia="zh-CN"/>
        </w:rPr>
      </w:pPr>
      <w:r w:rsidRPr="00A95DDB">
        <w:rPr>
          <w:rFonts w:ascii="Arial" w:eastAsia="Times New Roman" w:hAnsi="Arial" w:cs="Arial"/>
          <w:b/>
          <w:bCs/>
          <w:sz w:val="23"/>
          <w:szCs w:val="23"/>
          <w:lang w:eastAsia="zh-CN"/>
        </w:rPr>
        <w:t>Fundo Municipal de Saúde</w:t>
      </w:r>
    </w:p>
    <w:p w14:paraId="53BB1B15" w14:textId="77777777" w:rsidR="009E3F77" w:rsidRPr="00A95DDB" w:rsidRDefault="009E3F77" w:rsidP="009E3F77">
      <w:pPr>
        <w:tabs>
          <w:tab w:val="left" w:pos="0"/>
          <w:tab w:val="left" w:pos="1134"/>
        </w:tabs>
        <w:spacing w:after="0" w:line="240" w:lineRule="auto"/>
        <w:jc w:val="both"/>
        <w:rPr>
          <w:rFonts w:ascii="Arial" w:eastAsia="Times New Roman" w:hAnsi="Arial" w:cs="Arial"/>
          <w:bCs/>
          <w:sz w:val="23"/>
          <w:szCs w:val="23"/>
          <w:lang w:eastAsia="zh-CN"/>
        </w:rPr>
      </w:pPr>
      <w:r w:rsidRPr="00A95DDB">
        <w:rPr>
          <w:rFonts w:ascii="Arial" w:eastAsia="Times New Roman" w:hAnsi="Arial" w:cs="Arial"/>
          <w:bCs/>
          <w:sz w:val="23"/>
          <w:szCs w:val="23"/>
          <w:lang w:eastAsia="zh-CN"/>
        </w:rPr>
        <w:t>Ficha: 147 – Fonte: 150000150000.</w:t>
      </w:r>
    </w:p>
    <w:p w14:paraId="4C0AD62F" w14:textId="77777777" w:rsidR="009E3F77" w:rsidRPr="00A95DDB" w:rsidRDefault="009E3F77" w:rsidP="009E3F77">
      <w:pPr>
        <w:tabs>
          <w:tab w:val="left" w:pos="0"/>
          <w:tab w:val="left" w:pos="1134"/>
        </w:tabs>
        <w:spacing w:after="0" w:line="240" w:lineRule="auto"/>
        <w:jc w:val="both"/>
        <w:rPr>
          <w:rFonts w:ascii="Arial" w:eastAsia="Times New Roman" w:hAnsi="Arial" w:cs="Arial"/>
          <w:bCs/>
          <w:sz w:val="23"/>
          <w:szCs w:val="23"/>
          <w:lang w:eastAsia="zh-CN"/>
        </w:rPr>
      </w:pPr>
    </w:p>
    <w:p w14:paraId="56C7B5F2" w14:textId="77777777" w:rsidR="009E3F77" w:rsidRPr="00A95DDB" w:rsidRDefault="009E3F77" w:rsidP="009E3F77">
      <w:pPr>
        <w:tabs>
          <w:tab w:val="left" w:pos="0"/>
          <w:tab w:val="left" w:pos="1134"/>
        </w:tabs>
        <w:spacing w:after="0" w:line="240" w:lineRule="auto"/>
        <w:jc w:val="both"/>
        <w:rPr>
          <w:rFonts w:ascii="Arial" w:eastAsia="Times New Roman" w:hAnsi="Arial" w:cs="Arial"/>
          <w:b/>
          <w:bCs/>
          <w:sz w:val="23"/>
          <w:szCs w:val="23"/>
          <w:u w:val="single"/>
          <w:lang w:eastAsia="zh-CN"/>
        </w:rPr>
      </w:pPr>
      <w:bookmarkStart w:id="0" w:name="_Hlk161303853"/>
      <w:bookmarkStart w:id="1" w:name="_Hlk161302752"/>
      <w:r w:rsidRPr="00A95DDB">
        <w:rPr>
          <w:rFonts w:ascii="Arial" w:eastAsia="Times New Roman" w:hAnsi="Arial" w:cs="Arial"/>
          <w:b/>
          <w:bCs/>
          <w:sz w:val="23"/>
          <w:szCs w:val="23"/>
          <w:u w:val="single"/>
          <w:lang w:eastAsia="zh-CN"/>
        </w:rPr>
        <w:t>CLÁUSULA DÉCIMA SEGUNDA: DA FISCALIZAÇÃO</w:t>
      </w:r>
    </w:p>
    <w:p w14:paraId="469BDBD5"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12.1. A execução do contrato deverá ser acompanhada e fiscalizada nos termos do Art. 117, caput, da Lei Federal nº 14.133/2021, pelo fiscal do contrato designado pela Secretaria requerente</w:t>
      </w:r>
      <w:bookmarkEnd w:id="0"/>
      <w:r w:rsidRPr="00A95DDB">
        <w:rPr>
          <w:rFonts w:ascii="Arial" w:eastAsia="Times New Roman" w:hAnsi="Arial" w:cs="Arial"/>
          <w:sz w:val="23"/>
          <w:szCs w:val="23"/>
          <w:lang w:eastAsia="zh-CN"/>
        </w:rPr>
        <w:t xml:space="preserve">. </w:t>
      </w:r>
    </w:p>
    <w:p w14:paraId="644D48D4"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Parágrafo Único: A fiscalização exercida pelo LOCATÁRIO, não excluirá ou reduzirá a responsabilidade do LOCADOR pela completa e perfeita execução do objeto contratual.</w:t>
      </w:r>
    </w:p>
    <w:bookmarkEnd w:id="1"/>
    <w:p w14:paraId="03EFCDAD" w14:textId="77777777" w:rsidR="009E3F77" w:rsidRPr="00A95DDB" w:rsidRDefault="009E3F77" w:rsidP="009E3F77">
      <w:pPr>
        <w:spacing w:after="0" w:line="240" w:lineRule="auto"/>
        <w:jc w:val="both"/>
        <w:rPr>
          <w:rFonts w:ascii="Arial" w:eastAsia="Times New Roman" w:hAnsi="Arial" w:cs="Arial"/>
          <w:sz w:val="23"/>
          <w:szCs w:val="23"/>
          <w:lang w:eastAsia="zh-CN"/>
        </w:rPr>
      </w:pPr>
    </w:p>
    <w:p w14:paraId="21B22577" w14:textId="77777777" w:rsidR="009E3F77" w:rsidRPr="00A95DDB" w:rsidRDefault="009E3F77" w:rsidP="009E3F77">
      <w:pPr>
        <w:tabs>
          <w:tab w:val="left" w:pos="0"/>
          <w:tab w:val="left" w:pos="1134"/>
        </w:tabs>
        <w:spacing w:after="0" w:line="240" w:lineRule="auto"/>
        <w:jc w:val="both"/>
        <w:rPr>
          <w:rFonts w:ascii="Arial" w:eastAsia="Times New Roman" w:hAnsi="Arial" w:cs="Arial"/>
          <w:b/>
          <w:bCs/>
          <w:sz w:val="23"/>
          <w:szCs w:val="23"/>
          <w:u w:val="single"/>
          <w:lang w:eastAsia="zh-CN"/>
        </w:rPr>
      </w:pPr>
      <w:r w:rsidRPr="00A95DDB">
        <w:rPr>
          <w:rFonts w:ascii="Arial" w:eastAsia="Times New Roman" w:hAnsi="Arial" w:cs="Arial"/>
          <w:b/>
          <w:bCs/>
          <w:sz w:val="23"/>
          <w:szCs w:val="23"/>
          <w:u w:val="single"/>
          <w:lang w:eastAsia="zh-CN"/>
        </w:rPr>
        <w:t>CLÁUSULA DÉCIMA TERCEIRA: DA EXTINÇÃO CONTRATUAL</w:t>
      </w:r>
    </w:p>
    <w:p w14:paraId="4A5401E0"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13.1. O LOCATÁRIO, no seu lídimo interesse, poderá extinguir este contrato, sem qualquer ônus, em caso de descumprimento total ou parcial de qualquer cláusula contratual ou obrigação imposta ao LOCADOR, sem prejuízo da aplicação das penalidades cabíveis.</w:t>
      </w:r>
    </w:p>
    <w:p w14:paraId="13D8B855"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 xml:space="preserve">13.1.1. A extinção por descumprimento das cláusulas e obrigações contratuais acarretará a execução dos valores das multas e indenizações devidos ao LOCATÁRIO, bem como a retenção dos créditos decorrentes do contrato, até o limite dos prejuízos causados, além das sanções previstas neste instrumento. </w:t>
      </w:r>
    </w:p>
    <w:p w14:paraId="7C245311"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13.2. Também constitui motivo para a extinção do contrato a ocorrência de qualquer das hipóteses enumeradas no artigo 137 da Lei nº 14.133, de 2021, que sejam aplicáveis a esta relação locatícia.</w:t>
      </w:r>
    </w:p>
    <w:p w14:paraId="1893AA3D"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13.3. Nos casos em que reste impossibilitada a ocupação do imóvel, tais como incêndio, desmoronamento, desapropriação, caso fortuito ou força maior etc., o LOCATÁRIO poderá considerar o contrato rescindido imediatamente, ficando dispensada de qualquer prévia notificação, ou multa, desde que, nesta hipótese, não tenha concorrido para a situação.</w:t>
      </w:r>
    </w:p>
    <w:p w14:paraId="73F6B1C3"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13.4. O procedimento formal de extinção contratual terá início mediante notificação escrita, entregue diretamente ao LOCADOR, por via postal, com aviso de recebimento, ou endereço eletrônico.</w:t>
      </w:r>
    </w:p>
    <w:p w14:paraId="5A0E6A3E"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 xml:space="preserve">13.5. Os casos da rescisão contratual serão formalmente motivados nos autos, assegurado o contraditório e a ampla defesa, e precedidos de autorização escrita e fundamentada da autoridade competente. </w:t>
      </w:r>
    </w:p>
    <w:p w14:paraId="760EB5A5"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13.6. O termo de rescisão deverá indicar, conforme o caso:</w:t>
      </w:r>
    </w:p>
    <w:p w14:paraId="2D5B7513"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13.6.1. Balanço dos eventos contratuais já cumpridos ou parcialmente cumpridos;</w:t>
      </w:r>
    </w:p>
    <w:p w14:paraId="28A736BE"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13.6.2. Relação dos pagamentos já efetuados e ainda devidos;</w:t>
      </w:r>
    </w:p>
    <w:p w14:paraId="31EBCC86"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13.6.3. Indenizações e multas.</w:t>
      </w:r>
    </w:p>
    <w:p w14:paraId="3E11FEAE" w14:textId="77777777" w:rsidR="009E3F77" w:rsidRPr="00A95DDB" w:rsidRDefault="009E3F77" w:rsidP="009E3F77">
      <w:pPr>
        <w:spacing w:after="0" w:line="240" w:lineRule="auto"/>
        <w:jc w:val="both"/>
        <w:rPr>
          <w:rFonts w:ascii="Arial" w:eastAsia="Times New Roman" w:hAnsi="Arial" w:cs="Arial"/>
          <w:sz w:val="23"/>
          <w:szCs w:val="23"/>
          <w:lang w:eastAsia="zh-CN"/>
        </w:rPr>
      </w:pPr>
    </w:p>
    <w:p w14:paraId="5364366C" w14:textId="77777777" w:rsidR="009E3F77" w:rsidRPr="00A95DDB" w:rsidRDefault="009E3F77" w:rsidP="009E3F77">
      <w:pPr>
        <w:tabs>
          <w:tab w:val="left" w:pos="0"/>
          <w:tab w:val="left" w:pos="1134"/>
        </w:tabs>
        <w:spacing w:after="0" w:line="240" w:lineRule="auto"/>
        <w:jc w:val="both"/>
        <w:rPr>
          <w:rFonts w:ascii="Arial" w:eastAsia="Times New Roman" w:hAnsi="Arial" w:cs="Arial"/>
          <w:b/>
          <w:bCs/>
          <w:sz w:val="23"/>
          <w:szCs w:val="23"/>
          <w:u w:val="single"/>
          <w:lang w:eastAsia="zh-CN"/>
        </w:rPr>
      </w:pPr>
      <w:r w:rsidRPr="00A95DDB">
        <w:rPr>
          <w:rFonts w:ascii="Arial" w:eastAsia="Times New Roman" w:hAnsi="Arial" w:cs="Arial"/>
          <w:b/>
          <w:bCs/>
          <w:sz w:val="23"/>
          <w:szCs w:val="23"/>
          <w:u w:val="single"/>
          <w:lang w:eastAsia="zh-CN"/>
        </w:rPr>
        <w:t>CLÁUSULA DÉCIMA QUARTA: DAS ALTERAÇÕES</w:t>
      </w:r>
    </w:p>
    <w:p w14:paraId="4688A593"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 xml:space="preserve">14.1. Este contrato poderá ser alterado, mediante Termo Aditivo, para melhor adequação ao atendimento da finalidade de interesse público a que se destina e para os casos previstos neste instrumento, sendo assegurada ao LOCADOR a manutenção do equilíbrio econômico-financeiro do ajuste. </w:t>
      </w:r>
    </w:p>
    <w:p w14:paraId="0344D82A"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 xml:space="preserve">14.2. Caso, por razões de interesse público devidamente justificadas, o LOCATÁRIO decida devolver o imóvel e rescindir o contrato, antes do término do seu prazo de vigência, ficará </w:t>
      </w:r>
      <w:r w:rsidRPr="00A95DDB">
        <w:rPr>
          <w:rFonts w:ascii="Arial" w:eastAsia="Times New Roman" w:hAnsi="Arial" w:cs="Arial"/>
          <w:sz w:val="23"/>
          <w:szCs w:val="23"/>
          <w:lang w:eastAsia="zh-CN"/>
        </w:rPr>
        <w:lastRenderedPageBreak/>
        <w:t>dispensada do pagamento de qualquer multa, desde que notifique o LOCADOR, por escrito, com antecedência mínima de 30 (trinta) dias;</w:t>
      </w:r>
    </w:p>
    <w:p w14:paraId="03257BFC"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14.2.1. Nesta hipótese, caso não notifique tempestivamente o LOCADOR, e desde que este não tenha incorrido em culpa, o LOCATÁRIO ficará sujeito ao pagamento de multa, segundo proporção prevista no art. 4º da Lei 8.245, de 1991 e no art. 413 do Código Civil, considerando-se o prazo restante para o término da vigência do contrato;</w:t>
      </w:r>
    </w:p>
    <w:p w14:paraId="501212EB"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14.3. Se, durante a locação, a coisa locada se deteriorar, sem culpa do LOCATÁRIO e o imóvel ainda servir para o fim a que se disponha, a este caberá pedir redução proporcional do valor da locação;</w:t>
      </w:r>
    </w:p>
    <w:p w14:paraId="606C9DD4"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 xml:space="preserve">14.4. Durante o prazo estipulado para a duração do contrato, não poderá o LOCADOR reaver o imóvel locado (art. 4º da Lei Federal n. 8.245/1991).  </w:t>
      </w:r>
    </w:p>
    <w:p w14:paraId="41EFA5C2" w14:textId="77777777" w:rsidR="009E3F77" w:rsidRPr="00A95DDB" w:rsidRDefault="009E3F77" w:rsidP="009E3F77">
      <w:pPr>
        <w:spacing w:after="0" w:line="240" w:lineRule="auto"/>
        <w:jc w:val="both"/>
        <w:rPr>
          <w:rFonts w:ascii="Arial" w:eastAsia="Times New Roman" w:hAnsi="Arial" w:cs="Arial"/>
          <w:sz w:val="23"/>
          <w:szCs w:val="23"/>
          <w:lang w:eastAsia="zh-CN"/>
        </w:rPr>
      </w:pPr>
    </w:p>
    <w:p w14:paraId="21B6D1DB" w14:textId="77777777" w:rsidR="009E3F77" w:rsidRPr="00A95DDB" w:rsidRDefault="009E3F77" w:rsidP="009E3F77">
      <w:pPr>
        <w:tabs>
          <w:tab w:val="left" w:pos="0"/>
          <w:tab w:val="left" w:pos="1134"/>
        </w:tabs>
        <w:spacing w:after="0" w:line="240" w:lineRule="auto"/>
        <w:jc w:val="both"/>
        <w:rPr>
          <w:rFonts w:ascii="Arial" w:eastAsia="Times New Roman" w:hAnsi="Arial" w:cs="Arial"/>
          <w:b/>
          <w:bCs/>
          <w:sz w:val="23"/>
          <w:szCs w:val="23"/>
          <w:u w:val="single"/>
          <w:lang w:eastAsia="zh-CN"/>
        </w:rPr>
      </w:pPr>
      <w:bookmarkStart w:id="2" w:name="_Hlk161304470"/>
      <w:r w:rsidRPr="00A95DDB">
        <w:rPr>
          <w:rFonts w:ascii="Arial" w:eastAsia="Times New Roman" w:hAnsi="Arial" w:cs="Arial"/>
          <w:b/>
          <w:bCs/>
          <w:sz w:val="23"/>
          <w:szCs w:val="23"/>
          <w:u w:val="single"/>
          <w:lang w:eastAsia="zh-CN"/>
        </w:rPr>
        <w:t>CLÁUSULA DÉCIMA QUINTA: DOS CASOS OMISSOS</w:t>
      </w:r>
    </w:p>
    <w:p w14:paraId="7D9D71E2"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15.1. Os casos omissos serão decididos pelo LOCATÁRIO, segundo as disposições contidas na Lei Federal nº 14.133/2021, Decreto municipal nº 2099/2024, na Lei Federal n. 8.245/1991 e suas alterações posteriores e demais normas federais aplicáveis e normas e princípios gerais dos contratos.</w:t>
      </w:r>
      <w:bookmarkEnd w:id="2"/>
    </w:p>
    <w:p w14:paraId="1C26D534" w14:textId="77777777" w:rsidR="009E3F77" w:rsidRPr="00A95DDB" w:rsidRDefault="009E3F77" w:rsidP="009E3F77">
      <w:pPr>
        <w:spacing w:after="0" w:line="240" w:lineRule="auto"/>
        <w:jc w:val="both"/>
        <w:rPr>
          <w:rFonts w:ascii="Arial" w:eastAsia="Times New Roman" w:hAnsi="Arial" w:cs="Arial"/>
          <w:sz w:val="23"/>
          <w:szCs w:val="23"/>
          <w:lang w:eastAsia="zh-CN"/>
        </w:rPr>
      </w:pPr>
    </w:p>
    <w:p w14:paraId="18CDE729" w14:textId="77777777" w:rsidR="009E3F77" w:rsidRPr="00A95DDB" w:rsidRDefault="009E3F77" w:rsidP="009E3F77">
      <w:pPr>
        <w:tabs>
          <w:tab w:val="left" w:pos="0"/>
          <w:tab w:val="left" w:pos="1134"/>
        </w:tabs>
        <w:spacing w:after="0" w:line="240" w:lineRule="auto"/>
        <w:jc w:val="both"/>
        <w:rPr>
          <w:rFonts w:ascii="Arial" w:eastAsia="Times New Roman" w:hAnsi="Arial" w:cs="Arial"/>
          <w:b/>
          <w:bCs/>
          <w:sz w:val="23"/>
          <w:szCs w:val="23"/>
          <w:u w:val="single"/>
          <w:lang w:eastAsia="zh-CN"/>
        </w:rPr>
      </w:pPr>
      <w:r w:rsidRPr="00A95DDB">
        <w:rPr>
          <w:rFonts w:ascii="Arial" w:eastAsia="Times New Roman" w:hAnsi="Arial" w:cs="Arial"/>
          <w:b/>
          <w:bCs/>
          <w:sz w:val="23"/>
          <w:szCs w:val="23"/>
          <w:u w:val="single"/>
          <w:lang w:eastAsia="zh-CN"/>
        </w:rPr>
        <w:t>CLÁUSULA DÉCIMA SEXTA: PUBLICAÇÃO</w:t>
      </w:r>
    </w:p>
    <w:p w14:paraId="2E29DD5F" w14:textId="77777777" w:rsidR="009E3F77" w:rsidRPr="00A95DDB" w:rsidRDefault="009E3F77" w:rsidP="009E3F77">
      <w:pPr>
        <w:spacing w:after="0" w:line="240" w:lineRule="auto"/>
        <w:jc w:val="both"/>
        <w:rPr>
          <w:rFonts w:ascii="Arial" w:eastAsia="Times New Roman" w:hAnsi="Arial" w:cs="Arial"/>
          <w:sz w:val="23"/>
          <w:szCs w:val="23"/>
          <w:lang w:eastAsia="zh-CN"/>
        </w:rPr>
      </w:pPr>
      <w:r w:rsidRPr="00A95DDB">
        <w:rPr>
          <w:rFonts w:ascii="Arial" w:eastAsia="Times New Roman" w:hAnsi="Arial" w:cs="Arial"/>
          <w:sz w:val="23"/>
          <w:szCs w:val="23"/>
          <w:lang w:eastAsia="zh-CN"/>
        </w:rPr>
        <w:t>16.1. Incumbirá ao LOCATÁRIO providenciar a publicação deste instrumento nos termos e condições previstas na Lei Federal nº 14.133/2021.</w:t>
      </w:r>
    </w:p>
    <w:p w14:paraId="171E584F"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22E9D87" w14:textId="77777777" w:rsidR="009E3F77" w:rsidRPr="00A95DDB" w:rsidRDefault="009E3F77" w:rsidP="009E3F77">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95DDB">
        <w:rPr>
          <w:rFonts w:ascii="Arial" w:eastAsia="Times New Roman" w:hAnsi="Arial" w:cs="Arial"/>
          <w:b/>
          <w:bCs/>
          <w:color w:val="000000" w:themeColor="text1"/>
          <w:sz w:val="23"/>
          <w:szCs w:val="23"/>
          <w:u w:val="single"/>
          <w:lang w:eastAsia="zh-CN"/>
        </w:rPr>
        <w:t>CLÁUSULA DÉCIMA SÉTIMA: FORO</w:t>
      </w:r>
    </w:p>
    <w:p w14:paraId="515DFAD1"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17.1. Fica eleito o Foro da Cidade de São Domingos do Norte/ES, para dirimir os litígios que decorrem da execução deste Termo de Contrato que não puderem ser compostos pela conciliação, conforme art. 92, §1º, da Lei Federal nº 14.133/2021.</w:t>
      </w:r>
    </w:p>
    <w:p w14:paraId="1D6BF54D"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51AE5F7E" w14:textId="77777777" w:rsidR="009E3F77" w:rsidRPr="00A95DDB" w:rsidRDefault="009E3F77" w:rsidP="009E3F7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29923A6B" w14:textId="77777777" w:rsidR="009E3F77" w:rsidRPr="00A95DDB" w:rsidRDefault="009E3F77" w:rsidP="009E3F77">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69D7E5F2" w14:textId="388FD1D9" w:rsidR="009E3F77" w:rsidRPr="00A95DDB" w:rsidRDefault="009E3F77" w:rsidP="009E3F77">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A95DDB">
        <w:rPr>
          <w:rFonts w:ascii="Arial" w:eastAsia="Times New Roman" w:hAnsi="Arial" w:cs="Arial"/>
          <w:color w:val="000000" w:themeColor="text1"/>
          <w:sz w:val="23"/>
          <w:szCs w:val="23"/>
          <w:lang w:eastAsia="zh-CN"/>
        </w:rPr>
        <w:t>São Domingos do Norte/ES, 1</w:t>
      </w:r>
      <w:r w:rsidR="00E74372">
        <w:rPr>
          <w:rFonts w:ascii="Arial" w:eastAsia="Times New Roman" w:hAnsi="Arial" w:cs="Arial"/>
          <w:color w:val="000000" w:themeColor="text1"/>
          <w:sz w:val="23"/>
          <w:szCs w:val="23"/>
          <w:lang w:eastAsia="zh-CN"/>
        </w:rPr>
        <w:t>9</w:t>
      </w:r>
      <w:r w:rsidRPr="00A95DDB">
        <w:rPr>
          <w:rFonts w:ascii="Arial" w:eastAsia="Times New Roman" w:hAnsi="Arial" w:cs="Arial"/>
          <w:color w:val="000000" w:themeColor="text1"/>
          <w:sz w:val="23"/>
          <w:szCs w:val="23"/>
          <w:lang w:eastAsia="zh-CN"/>
        </w:rPr>
        <w:t xml:space="preserve"> de </w:t>
      </w:r>
      <w:r w:rsidR="00E74372">
        <w:rPr>
          <w:rFonts w:ascii="Arial" w:eastAsia="Times New Roman" w:hAnsi="Arial" w:cs="Arial"/>
          <w:color w:val="000000" w:themeColor="text1"/>
          <w:sz w:val="23"/>
          <w:szCs w:val="23"/>
          <w:lang w:eastAsia="zh-CN"/>
        </w:rPr>
        <w:t>julho</w:t>
      </w:r>
      <w:r w:rsidRPr="00A95DDB">
        <w:rPr>
          <w:rFonts w:ascii="Arial" w:eastAsia="Times New Roman" w:hAnsi="Arial" w:cs="Arial"/>
          <w:color w:val="000000" w:themeColor="text1"/>
          <w:sz w:val="23"/>
          <w:szCs w:val="23"/>
          <w:lang w:eastAsia="zh-CN"/>
        </w:rPr>
        <w:t xml:space="preserve"> de 2024.</w:t>
      </w:r>
    </w:p>
    <w:p w14:paraId="1A9D7545" w14:textId="77777777" w:rsidR="009E3F77" w:rsidRPr="00A95DDB" w:rsidRDefault="009E3F77" w:rsidP="009E3F77">
      <w:pPr>
        <w:spacing w:after="0" w:line="240" w:lineRule="auto"/>
        <w:jc w:val="both"/>
        <w:rPr>
          <w:rFonts w:ascii="Arial" w:eastAsia="Times New Roman" w:hAnsi="Arial" w:cs="Arial"/>
          <w:color w:val="000000" w:themeColor="text1"/>
          <w:sz w:val="23"/>
          <w:szCs w:val="23"/>
          <w:lang w:eastAsia="zh-CN"/>
        </w:rPr>
      </w:pPr>
    </w:p>
    <w:p w14:paraId="30855672" w14:textId="77777777" w:rsidR="00A95DDB" w:rsidRPr="00A95DDB" w:rsidRDefault="00A95DDB" w:rsidP="009E3F77">
      <w:pPr>
        <w:jc w:val="both"/>
        <w:rPr>
          <w:rFonts w:ascii="Arial" w:hAnsi="Arial" w:cs="Arial"/>
          <w:sz w:val="23"/>
          <w:szCs w:val="23"/>
        </w:rPr>
      </w:pPr>
    </w:p>
    <w:p w14:paraId="4EDB7B36" w14:textId="77777777" w:rsidR="009E3F77" w:rsidRPr="00A95DDB" w:rsidRDefault="009E3F77" w:rsidP="009E3F77">
      <w:pPr>
        <w:pStyle w:val="SemEspaamento"/>
        <w:rPr>
          <w:rFonts w:ascii="Arial" w:hAnsi="Arial" w:cs="Arial"/>
          <w:sz w:val="23"/>
          <w:szCs w:val="23"/>
        </w:rPr>
      </w:pPr>
    </w:p>
    <w:p w14:paraId="55129597" w14:textId="77777777" w:rsidR="009E3F77" w:rsidRPr="00A95DDB" w:rsidRDefault="009E3F77" w:rsidP="009E3F77">
      <w:pPr>
        <w:pStyle w:val="SemEspaamento"/>
        <w:rPr>
          <w:rFonts w:ascii="Arial" w:hAnsi="Arial" w:cs="Arial"/>
          <w:sz w:val="23"/>
          <w:szCs w:val="23"/>
        </w:rPr>
      </w:pPr>
      <w:bookmarkStart w:id="3" w:name="_Hlk158276234"/>
      <w:r w:rsidRPr="00A95DDB">
        <w:rPr>
          <w:rFonts w:ascii="Arial" w:hAnsi="Arial" w:cs="Arial"/>
          <w:sz w:val="23"/>
          <w:szCs w:val="23"/>
        </w:rPr>
        <w:t xml:space="preserve">    </w:t>
      </w:r>
      <w:r w:rsidRPr="00A95DDB">
        <w:rPr>
          <w:rFonts w:ascii="Arial" w:hAnsi="Arial" w:cs="Arial"/>
          <w:b/>
          <w:bCs/>
          <w:sz w:val="23"/>
          <w:szCs w:val="23"/>
        </w:rPr>
        <w:t>Ana Izabel Malacarne de Oliveira</w:t>
      </w:r>
      <w:r w:rsidRPr="00A95DDB">
        <w:rPr>
          <w:rFonts w:ascii="Arial" w:hAnsi="Arial" w:cs="Arial"/>
          <w:sz w:val="23"/>
          <w:szCs w:val="23"/>
        </w:rPr>
        <w:tab/>
        <w:t xml:space="preserve">                                            </w:t>
      </w:r>
      <w:r w:rsidRPr="00A95DDB">
        <w:rPr>
          <w:rFonts w:ascii="Arial" w:hAnsi="Arial" w:cs="Arial"/>
          <w:b/>
          <w:bCs/>
          <w:sz w:val="23"/>
          <w:szCs w:val="23"/>
        </w:rPr>
        <w:t>Alessandro Nicchio</w:t>
      </w:r>
    </w:p>
    <w:p w14:paraId="4501ACEE" w14:textId="77777777" w:rsidR="009E3F77" w:rsidRPr="00A95DDB" w:rsidRDefault="009E3F77" w:rsidP="009E3F77">
      <w:pPr>
        <w:pStyle w:val="SemEspaamento"/>
        <w:rPr>
          <w:rFonts w:ascii="Arial" w:hAnsi="Arial" w:cs="Arial"/>
          <w:sz w:val="23"/>
          <w:szCs w:val="23"/>
        </w:rPr>
      </w:pPr>
      <w:r w:rsidRPr="00A95DDB">
        <w:rPr>
          <w:rFonts w:ascii="Arial" w:hAnsi="Arial" w:cs="Arial"/>
          <w:sz w:val="23"/>
          <w:szCs w:val="23"/>
        </w:rPr>
        <w:t xml:space="preserve">                Prefeita Municipal                                                       Secretário Municipal de Saúde</w:t>
      </w:r>
    </w:p>
    <w:p w14:paraId="6C53EF97" w14:textId="77777777" w:rsidR="009E3F77" w:rsidRPr="00A95DDB" w:rsidRDefault="009E3F77" w:rsidP="009E3F77">
      <w:pPr>
        <w:pStyle w:val="SemEspaamento"/>
        <w:rPr>
          <w:rFonts w:ascii="Arial" w:hAnsi="Arial" w:cs="Arial"/>
          <w:sz w:val="23"/>
          <w:szCs w:val="23"/>
        </w:rPr>
      </w:pPr>
      <w:r w:rsidRPr="00A95DDB">
        <w:rPr>
          <w:rFonts w:ascii="Arial" w:hAnsi="Arial" w:cs="Arial"/>
          <w:sz w:val="23"/>
          <w:szCs w:val="23"/>
        </w:rPr>
        <w:t>Município de São Domingos do Norte/ES                                               LOCATÁRIO</w:t>
      </w:r>
    </w:p>
    <w:p w14:paraId="6B1B587B" w14:textId="77777777" w:rsidR="009E3F77" w:rsidRPr="00A95DDB" w:rsidRDefault="009E3F77" w:rsidP="009E3F77">
      <w:pPr>
        <w:pStyle w:val="SemEspaamento"/>
        <w:rPr>
          <w:rFonts w:ascii="Arial" w:hAnsi="Arial" w:cs="Arial"/>
          <w:sz w:val="23"/>
          <w:szCs w:val="23"/>
        </w:rPr>
      </w:pPr>
      <w:r w:rsidRPr="00A95DDB">
        <w:rPr>
          <w:rFonts w:ascii="Arial" w:hAnsi="Arial" w:cs="Arial"/>
          <w:sz w:val="23"/>
          <w:szCs w:val="23"/>
        </w:rPr>
        <w:t xml:space="preserve">                  LOCATÁRIO</w:t>
      </w:r>
    </w:p>
    <w:bookmarkEnd w:id="3"/>
    <w:p w14:paraId="131E64CA" w14:textId="77777777" w:rsidR="009E3F77" w:rsidRDefault="009E3F77" w:rsidP="009E3F77">
      <w:pPr>
        <w:pStyle w:val="SemEspaamento"/>
        <w:rPr>
          <w:rFonts w:ascii="Arial" w:hAnsi="Arial" w:cs="Arial"/>
          <w:sz w:val="23"/>
          <w:szCs w:val="23"/>
        </w:rPr>
      </w:pPr>
    </w:p>
    <w:p w14:paraId="29AA769D" w14:textId="77777777" w:rsidR="00E74372" w:rsidRPr="00A95DDB" w:rsidRDefault="00E74372" w:rsidP="009E3F77">
      <w:pPr>
        <w:pStyle w:val="SemEspaamento"/>
        <w:rPr>
          <w:rFonts w:ascii="Arial" w:hAnsi="Arial" w:cs="Arial"/>
          <w:sz w:val="23"/>
          <w:szCs w:val="23"/>
        </w:rPr>
      </w:pPr>
    </w:p>
    <w:p w14:paraId="100D67D6" w14:textId="77777777" w:rsidR="009E3F77" w:rsidRPr="00A95DDB" w:rsidRDefault="009E3F77" w:rsidP="009E3F77">
      <w:pPr>
        <w:pStyle w:val="SemEspaamento"/>
        <w:rPr>
          <w:rFonts w:ascii="Arial" w:hAnsi="Arial" w:cs="Arial"/>
          <w:sz w:val="23"/>
          <w:szCs w:val="23"/>
        </w:rPr>
      </w:pPr>
    </w:p>
    <w:p w14:paraId="509F3B6D" w14:textId="69C7248D" w:rsidR="009E3F77" w:rsidRPr="00A95DDB" w:rsidRDefault="009E3F77" w:rsidP="00A95DDB">
      <w:pPr>
        <w:pStyle w:val="SemEspaamento"/>
        <w:tabs>
          <w:tab w:val="center" w:pos="4960"/>
        </w:tabs>
        <w:rPr>
          <w:rFonts w:ascii="Arial" w:hAnsi="Arial" w:cs="Arial"/>
          <w:sz w:val="23"/>
          <w:szCs w:val="23"/>
        </w:rPr>
      </w:pPr>
      <w:r w:rsidRPr="00A95DDB">
        <w:rPr>
          <w:rFonts w:ascii="Arial" w:hAnsi="Arial" w:cs="Arial"/>
          <w:sz w:val="23"/>
          <w:szCs w:val="23"/>
        </w:rPr>
        <w:t xml:space="preserve">                 </w:t>
      </w:r>
      <w:r w:rsidR="00A95DDB" w:rsidRPr="00A95DDB">
        <w:rPr>
          <w:rFonts w:ascii="Arial" w:hAnsi="Arial" w:cs="Arial"/>
          <w:sz w:val="23"/>
          <w:szCs w:val="23"/>
        </w:rPr>
        <w:tab/>
      </w:r>
      <w:proofErr w:type="spellStart"/>
      <w:r w:rsidR="00A95DDB" w:rsidRPr="00A95DDB">
        <w:rPr>
          <w:rFonts w:ascii="Arial" w:eastAsia="Arial" w:hAnsi="Arial" w:cs="Arial"/>
          <w:b/>
          <w:sz w:val="23"/>
          <w:szCs w:val="23"/>
          <w:lang w:eastAsia="zh-CN"/>
        </w:rPr>
        <w:t>Alaertes</w:t>
      </w:r>
      <w:proofErr w:type="spellEnd"/>
      <w:r w:rsidR="00A95DDB" w:rsidRPr="00A95DDB">
        <w:rPr>
          <w:rFonts w:ascii="Arial" w:eastAsia="Arial" w:hAnsi="Arial" w:cs="Arial"/>
          <w:b/>
          <w:sz w:val="23"/>
          <w:szCs w:val="23"/>
          <w:lang w:eastAsia="zh-CN"/>
        </w:rPr>
        <w:t xml:space="preserve"> Luiz Nicchio</w:t>
      </w:r>
    </w:p>
    <w:p w14:paraId="07B7B358" w14:textId="544058A2" w:rsidR="009E3F77" w:rsidRPr="00A95DDB" w:rsidRDefault="00A95DDB" w:rsidP="00A95DDB">
      <w:pPr>
        <w:pStyle w:val="SemEspaamento"/>
        <w:jc w:val="center"/>
        <w:rPr>
          <w:rFonts w:ascii="Arial" w:hAnsi="Arial" w:cs="Arial"/>
          <w:sz w:val="23"/>
          <w:szCs w:val="23"/>
        </w:rPr>
      </w:pPr>
      <w:r w:rsidRPr="00A95DDB">
        <w:rPr>
          <w:rFonts w:ascii="Arial" w:hAnsi="Arial" w:cs="Arial"/>
          <w:sz w:val="23"/>
          <w:szCs w:val="23"/>
        </w:rPr>
        <w:t>Proprietário do Imóvel</w:t>
      </w:r>
    </w:p>
    <w:p w14:paraId="09460A4F" w14:textId="1779E0FD" w:rsidR="009E3F77" w:rsidRPr="00A95DDB" w:rsidRDefault="00A95DDB" w:rsidP="00A95DDB">
      <w:pPr>
        <w:pStyle w:val="SemEspaamento"/>
        <w:jc w:val="center"/>
        <w:rPr>
          <w:rFonts w:ascii="Arial" w:hAnsi="Arial" w:cs="Arial"/>
          <w:sz w:val="23"/>
          <w:szCs w:val="23"/>
        </w:rPr>
      </w:pPr>
      <w:r w:rsidRPr="00A95DDB">
        <w:rPr>
          <w:rFonts w:ascii="Arial" w:hAnsi="Arial" w:cs="Arial"/>
          <w:sz w:val="23"/>
          <w:szCs w:val="23"/>
        </w:rPr>
        <w:t>LOCADOR</w:t>
      </w:r>
    </w:p>
    <w:p w14:paraId="5F063C5C" w14:textId="77777777" w:rsidR="009E3F77" w:rsidRPr="00A95DDB" w:rsidRDefault="009E3F77" w:rsidP="009E3F77">
      <w:pPr>
        <w:spacing w:after="0" w:line="240" w:lineRule="auto"/>
        <w:rPr>
          <w:rFonts w:ascii="Arial" w:eastAsia="Times New Roman" w:hAnsi="Arial" w:cs="Arial"/>
          <w:sz w:val="23"/>
          <w:szCs w:val="23"/>
          <w:lang w:eastAsia="zh-CN"/>
        </w:rPr>
      </w:pPr>
      <w:r w:rsidRPr="00A95DDB">
        <w:rPr>
          <w:rFonts w:ascii="Arial" w:eastAsia="Times New Roman" w:hAnsi="Arial" w:cs="Arial"/>
          <w:sz w:val="23"/>
          <w:szCs w:val="23"/>
          <w:lang w:eastAsia="zh-CN"/>
        </w:rPr>
        <w:t>Testemunhas:</w:t>
      </w:r>
    </w:p>
    <w:p w14:paraId="0D467017" w14:textId="77777777" w:rsidR="009E3F77" w:rsidRPr="00A95DDB" w:rsidRDefault="009E3F77" w:rsidP="009E3F77">
      <w:pPr>
        <w:spacing w:after="0" w:line="240" w:lineRule="auto"/>
        <w:rPr>
          <w:rFonts w:ascii="Arial" w:eastAsia="Times New Roman" w:hAnsi="Arial" w:cs="Arial"/>
          <w:sz w:val="23"/>
          <w:szCs w:val="23"/>
          <w:lang w:eastAsia="zh-CN"/>
        </w:rPr>
      </w:pPr>
    </w:p>
    <w:p w14:paraId="1BFA3224" w14:textId="06521EF2" w:rsidR="009E3F77" w:rsidRPr="00A95DDB" w:rsidRDefault="009E3F77" w:rsidP="009E3F77">
      <w:pPr>
        <w:spacing w:after="0" w:line="240" w:lineRule="auto"/>
        <w:rPr>
          <w:rFonts w:ascii="Arial" w:eastAsia="Times New Roman" w:hAnsi="Arial" w:cs="Arial"/>
          <w:sz w:val="23"/>
          <w:szCs w:val="23"/>
          <w:lang w:eastAsia="zh-CN"/>
        </w:rPr>
      </w:pPr>
      <w:r w:rsidRPr="00A95DDB">
        <w:rPr>
          <w:rFonts w:ascii="Arial" w:eastAsia="Times New Roman" w:hAnsi="Arial" w:cs="Arial"/>
          <w:sz w:val="23"/>
          <w:szCs w:val="23"/>
          <w:lang w:eastAsia="zh-CN"/>
        </w:rPr>
        <w:t>1)__________________________________   2) __________________________________</w:t>
      </w:r>
    </w:p>
    <w:p w14:paraId="78316646" w14:textId="77777777" w:rsidR="00C90F87" w:rsidRPr="00A95DDB" w:rsidRDefault="00C90F87">
      <w:pPr>
        <w:rPr>
          <w:sz w:val="23"/>
          <w:szCs w:val="23"/>
        </w:rPr>
      </w:pPr>
    </w:p>
    <w:sectPr w:rsidR="00C90F87" w:rsidRPr="00A95DDB" w:rsidSect="009E3F77">
      <w:headerReference w:type="default" r:id="rId4"/>
      <w:footerReference w:type="default" r:id="rId5"/>
      <w:pgSz w:w="11906" w:h="16838"/>
      <w:pgMar w:top="567" w:right="851" w:bottom="284" w:left="1134" w:header="567"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53885013"/>
      <w:docPartObj>
        <w:docPartGallery w:val="Page Numbers (Bottom of Page)"/>
        <w:docPartUnique/>
      </w:docPartObj>
    </w:sdtPr>
    <w:sdtContent>
      <w:p w14:paraId="51694A0A"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4F4A3015"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CD977D" w14:textId="77777777" w:rsidR="00000000" w:rsidRPr="00424AD2" w:rsidRDefault="00000000" w:rsidP="00734593">
    <w:pPr>
      <w:keepNext/>
      <w:spacing w:after="0" w:line="240" w:lineRule="auto"/>
      <w:jc w:val="center"/>
      <w:outlineLvl w:val="2"/>
      <w:rPr>
        <w:rFonts w:ascii="Georgia" w:eastAsia="Times New Roman" w:hAnsi="Georgia" w:cs="Times New Roman"/>
        <w:b/>
        <w:bCs/>
        <w:sz w:val="24"/>
        <w:szCs w:val="24"/>
        <w:lang w:eastAsia="pt-BR"/>
      </w:rPr>
    </w:pPr>
    <w:r w:rsidRPr="00424AD2">
      <w:rPr>
        <w:rFonts w:ascii="Times New Roman" w:eastAsia="Times New Roman" w:hAnsi="Times New Roman" w:cs="Times New Roman"/>
        <w:noProof/>
        <w:sz w:val="24"/>
        <w:szCs w:val="20"/>
        <w:lang w:eastAsia="pt-BR"/>
      </w:rPr>
      <w:drawing>
        <wp:anchor distT="0" distB="0" distL="114300" distR="114300" simplePos="0" relativeHeight="251659264" behindDoc="0" locked="0" layoutInCell="1" allowOverlap="1" wp14:anchorId="277DB480" wp14:editId="1C824E38">
          <wp:simplePos x="0" y="0"/>
          <wp:positionH relativeFrom="column">
            <wp:posOffset>2825115</wp:posOffset>
          </wp:positionH>
          <wp:positionV relativeFrom="paragraph">
            <wp:posOffset>-261620</wp:posOffset>
          </wp:positionV>
          <wp:extent cx="838200" cy="602615"/>
          <wp:effectExtent l="0" t="0" r="0" b="698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6026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339690E" w14:textId="77777777" w:rsidR="00000000" w:rsidRPr="00424AD2" w:rsidRDefault="00000000" w:rsidP="00734593">
    <w:pPr>
      <w:keepNext/>
      <w:spacing w:after="0" w:line="240" w:lineRule="auto"/>
      <w:jc w:val="center"/>
      <w:outlineLvl w:val="2"/>
      <w:rPr>
        <w:rFonts w:ascii="Georgia" w:eastAsia="Times New Roman" w:hAnsi="Georgia" w:cs="Times New Roman"/>
        <w:b/>
        <w:bCs/>
        <w:i/>
        <w:iCs/>
        <w:sz w:val="24"/>
        <w:szCs w:val="24"/>
        <w:lang w:eastAsia="pt-BR"/>
      </w:rPr>
    </w:pPr>
  </w:p>
  <w:p w14:paraId="0C802557" w14:textId="77777777" w:rsidR="00000000" w:rsidRPr="00424AD2" w:rsidRDefault="00000000" w:rsidP="00734593">
    <w:pPr>
      <w:keepNext/>
      <w:overflowPunct w:val="0"/>
      <w:adjustRightInd w:val="0"/>
      <w:spacing w:after="0" w:line="240" w:lineRule="auto"/>
      <w:jc w:val="center"/>
      <w:outlineLvl w:val="8"/>
      <w:rPr>
        <w:rFonts w:ascii="Arial" w:eastAsia="Times New Roman" w:hAnsi="Arial" w:cs="Arial"/>
        <w:b/>
        <w:bCs/>
        <w:i/>
        <w:iCs/>
        <w:color w:val="000000"/>
        <w:sz w:val="20"/>
        <w:szCs w:val="20"/>
        <w:lang w:eastAsia="pt-BR"/>
      </w:rPr>
    </w:pPr>
    <w:r w:rsidRPr="00424AD2">
      <w:rPr>
        <w:rFonts w:ascii="Arial" w:eastAsia="Times New Roman" w:hAnsi="Arial" w:cs="Arial"/>
        <w:b/>
        <w:bCs/>
        <w:i/>
        <w:iCs/>
        <w:color w:val="000000"/>
        <w:sz w:val="20"/>
        <w:szCs w:val="20"/>
        <w:lang w:eastAsia="pt-BR"/>
      </w:rPr>
      <w:t xml:space="preserve">PREFEITURA MUNICIPAL DE SÃO DOMINGOS DO </w:t>
    </w:r>
    <w:r w:rsidRPr="00424AD2">
      <w:rPr>
        <w:rFonts w:ascii="Arial" w:eastAsia="Times New Roman" w:hAnsi="Arial" w:cs="Arial"/>
        <w:b/>
        <w:bCs/>
        <w:i/>
        <w:iCs/>
        <w:color w:val="000000"/>
        <w:sz w:val="20"/>
        <w:szCs w:val="20"/>
        <w:lang w:eastAsia="pt-BR"/>
      </w:rPr>
      <w:t>NORTE/ES</w:t>
    </w:r>
  </w:p>
  <w:p w14:paraId="2B25399F" w14:textId="77777777" w:rsidR="00000000" w:rsidRPr="00424AD2" w:rsidRDefault="00000000" w:rsidP="00734593">
    <w:pPr>
      <w:keepNext/>
      <w:overflowPunct w:val="0"/>
      <w:adjustRightInd w:val="0"/>
      <w:spacing w:after="0" w:line="240" w:lineRule="auto"/>
      <w:jc w:val="center"/>
      <w:outlineLvl w:val="8"/>
      <w:rPr>
        <w:rFonts w:ascii="Arial" w:eastAsia="Times New Roman" w:hAnsi="Arial" w:cs="Arial"/>
        <w:i/>
        <w:iCs/>
        <w:color w:val="000000"/>
        <w:sz w:val="20"/>
        <w:szCs w:val="20"/>
        <w:lang w:eastAsia="pt-BR"/>
      </w:rPr>
    </w:pPr>
    <w:r w:rsidRPr="00424AD2">
      <w:rPr>
        <w:rFonts w:ascii="Arial" w:eastAsia="Times New Roman" w:hAnsi="Arial" w:cs="Arial"/>
        <w:i/>
        <w:iCs/>
        <w:color w:val="000000"/>
        <w:sz w:val="20"/>
        <w:szCs w:val="20"/>
        <w:lang w:eastAsia="pt-BR"/>
      </w:rPr>
      <w:t xml:space="preserve">Rod. </w:t>
    </w:r>
    <w:proofErr w:type="spellStart"/>
    <w:r w:rsidRPr="00424AD2">
      <w:rPr>
        <w:rFonts w:ascii="Arial" w:eastAsia="Times New Roman" w:hAnsi="Arial" w:cs="Arial"/>
        <w:i/>
        <w:iCs/>
        <w:color w:val="000000"/>
        <w:sz w:val="20"/>
        <w:szCs w:val="20"/>
        <w:lang w:eastAsia="pt-BR"/>
      </w:rPr>
      <w:t>Gether</w:t>
    </w:r>
    <w:proofErr w:type="spellEnd"/>
    <w:r w:rsidRPr="00424AD2">
      <w:rPr>
        <w:rFonts w:ascii="Arial" w:eastAsia="Times New Roman" w:hAnsi="Arial" w:cs="Arial"/>
        <w:i/>
        <w:iCs/>
        <w:color w:val="000000"/>
        <w:sz w:val="20"/>
        <w:szCs w:val="20"/>
        <w:lang w:eastAsia="pt-BR"/>
      </w:rPr>
      <w:t xml:space="preserve"> Lopes de Farias, Bairro Emílio Calegari, São Domingos do Norte/ES, CEP 29745-000</w:t>
    </w:r>
  </w:p>
  <w:p w14:paraId="4E205962" w14:textId="77777777" w:rsidR="00000000" w:rsidRPr="00424AD2" w:rsidRDefault="00000000" w:rsidP="00734593">
    <w:pPr>
      <w:keepNext/>
      <w:overflowPunct w:val="0"/>
      <w:adjustRightInd w:val="0"/>
      <w:spacing w:after="0" w:line="240" w:lineRule="auto"/>
      <w:jc w:val="center"/>
      <w:outlineLvl w:val="8"/>
      <w:rPr>
        <w:rFonts w:ascii="Arial" w:eastAsia="Times New Roman" w:hAnsi="Arial" w:cs="Arial"/>
        <w:i/>
        <w:iCs/>
        <w:sz w:val="20"/>
        <w:szCs w:val="20"/>
        <w:lang w:eastAsia="pt-BR"/>
      </w:rPr>
    </w:pPr>
    <w:r w:rsidRPr="00424AD2">
      <w:rPr>
        <w:rFonts w:ascii="Arial" w:eastAsia="Times New Roman" w:hAnsi="Arial" w:cs="Arial"/>
        <w:i/>
        <w:iCs/>
        <w:color w:val="000000"/>
        <w:sz w:val="20"/>
        <w:szCs w:val="20"/>
        <w:lang w:eastAsia="pt-BR"/>
      </w:rPr>
      <w:t xml:space="preserve">Telefone: (027) 3742-0200 - </w:t>
    </w:r>
    <w:r w:rsidRPr="00424AD2">
      <w:rPr>
        <w:rFonts w:ascii="Arial" w:eastAsia="Times New Roman" w:hAnsi="Arial" w:cs="Arial"/>
        <w:i/>
        <w:iCs/>
        <w:sz w:val="20"/>
        <w:szCs w:val="20"/>
        <w:lang w:eastAsia="pt-BR"/>
      </w:rPr>
      <w:t>CNPJ nº 36.350.312/0001-72</w:t>
    </w:r>
  </w:p>
  <w:p w14:paraId="4A11EF86" w14:textId="77777777" w:rsidR="00000000" w:rsidRPr="00424AD2" w:rsidRDefault="00000000" w:rsidP="00734593">
    <w:pPr>
      <w:keepNext/>
      <w:overflowPunct w:val="0"/>
      <w:adjustRightInd w:val="0"/>
      <w:spacing w:after="0" w:line="240" w:lineRule="auto"/>
      <w:jc w:val="center"/>
      <w:outlineLvl w:val="8"/>
      <w:rPr>
        <w:rFonts w:ascii="Arial" w:eastAsia="Times New Roman" w:hAnsi="Arial" w:cs="Arial"/>
        <w:b/>
        <w:bCs/>
        <w:i/>
        <w:iCs/>
        <w:color w:val="000000"/>
        <w:sz w:val="20"/>
        <w:szCs w:val="20"/>
        <w:lang w:eastAsia="pt-BR"/>
      </w:rPr>
    </w:pPr>
    <w:r w:rsidRPr="00424AD2">
      <w:rPr>
        <w:rFonts w:ascii="Arial" w:eastAsia="Times New Roman" w:hAnsi="Arial" w:cs="Arial"/>
        <w:b/>
        <w:bCs/>
        <w:i/>
        <w:iCs/>
        <w:color w:val="000000"/>
        <w:sz w:val="20"/>
        <w:szCs w:val="20"/>
        <w:lang w:eastAsia="pt-BR"/>
      </w:rPr>
      <w:t>FUNDO MUNICIPAL DE SAÚDE</w:t>
    </w:r>
  </w:p>
  <w:p w14:paraId="2D1EC93D" w14:textId="77777777" w:rsidR="00000000" w:rsidRPr="00734593" w:rsidRDefault="00000000" w:rsidP="00734593">
    <w:pPr>
      <w:jc w:val="center"/>
      <w:rPr>
        <w:rFonts w:ascii="Arial" w:eastAsia="Calibri" w:hAnsi="Arial" w:cs="Arial"/>
        <w:i/>
        <w:iCs/>
      </w:rPr>
    </w:pPr>
    <w:r w:rsidRPr="00424AD2">
      <w:rPr>
        <w:rFonts w:ascii="Arial" w:eastAsia="Calibri" w:hAnsi="Arial" w:cs="Arial"/>
        <w:i/>
        <w:iCs/>
        <w:sz w:val="20"/>
        <w:szCs w:val="20"/>
      </w:rPr>
      <w:t>CNPJ nº 13.953.742/0001-83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F77"/>
    <w:rsid w:val="006A4851"/>
    <w:rsid w:val="009E3F77"/>
    <w:rsid w:val="00A95DDB"/>
    <w:rsid w:val="00B3322E"/>
    <w:rsid w:val="00C90F87"/>
    <w:rsid w:val="00E603DE"/>
    <w:rsid w:val="00E7437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97120"/>
  <w15:chartTrackingRefBased/>
  <w15:docId w15:val="{7FB9B66A-A250-4A29-8C42-4373F9BBC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3F77"/>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9E3F77"/>
    <w:pPr>
      <w:tabs>
        <w:tab w:val="center" w:pos="4252"/>
        <w:tab w:val="right" w:pos="8504"/>
      </w:tabs>
      <w:spacing w:after="0" w:line="240" w:lineRule="auto"/>
    </w:pPr>
  </w:style>
  <w:style w:type="character" w:customStyle="1" w:styleId="RodapChar">
    <w:name w:val="Rodapé Char"/>
    <w:basedOn w:val="Fontepargpadro"/>
    <w:link w:val="Rodap"/>
    <w:uiPriority w:val="99"/>
    <w:rsid w:val="009E3F77"/>
  </w:style>
  <w:style w:type="paragraph" w:styleId="SemEspaamento">
    <w:name w:val="No Spacing"/>
    <w:uiPriority w:val="1"/>
    <w:qFormat/>
    <w:rsid w:val="009E3F7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6</Pages>
  <Words>3014</Words>
  <Characters>16281</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2024-07-19T13:01:00Z</dcterms:created>
  <dcterms:modified xsi:type="dcterms:W3CDTF">2024-07-19T13:58:00Z</dcterms:modified>
</cp:coreProperties>
</file>