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rPr>
          <w:b w:val="0"/>
          <w:color w:val="000000"/>
          <w:spacing w:val="-3"/>
          <w:sz w:val="22"/>
          <w:szCs w:val="22"/>
        </w:rPr>
      </w:pPr>
      <w:r>
        <w:rPr>
          <w:b w:val="0"/>
          <w:color w:val="000000"/>
          <w:spacing w:val="-3"/>
          <w:sz w:val="22"/>
          <w:szCs w:val="22"/>
        </w:rPr>
      </w:r>
    </w:p>
    <w:p>
      <w:pPr>
        <w:pStyle w:val="para1"/>
        <w:spacing w:before="0"/>
        <w:rPr>
          <w:b w:val="0"/>
          <w:color w:val="000000"/>
          <w:spacing w:val="-3"/>
          <w:sz w:val="22"/>
          <w:szCs w:val="22"/>
        </w:rPr>
      </w:pPr>
      <w:r>
        <w:rPr>
          <w:b w:val="0"/>
          <w:color w:val="000000"/>
          <w:spacing w:val="-3"/>
          <w:sz w:val="22"/>
          <w:szCs w:val="22"/>
        </w:rPr>
        <w:t>COMISSÃO PERMANENTE DE PREGÃO – CPP/PMSDN</w:t>
      </w:r>
    </w:p>
    <w:p>
      <w:pPr>
        <w:spacing w:before="0"/>
        <w:jc w:val="both"/>
        <w:rPr>
          <w:color w:val="000000"/>
          <w:sz w:val="22"/>
          <w:szCs w:val="22"/>
        </w:rPr>
      </w:pPr>
      <w:r>
        <w:rPr>
          <w:color w:val="000000"/>
          <w:sz w:val="22"/>
          <w:szCs w:val="22"/>
        </w:rPr>
      </w:r>
    </w:p>
    <w:p>
      <w:pPr>
        <w:pStyle w:val="para5"/>
        <w:spacing w:before="0"/>
        <w:rPr>
          <w:b/>
          <w:color w:val="000000"/>
          <w:spacing w:val="-3"/>
          <w:sz w:val="22"/>
          <w:szCs w:val="22"/>
        </w:rPr>
      </w:pPr>
      <w:r>
        <w:rPr>
          <w:b/>
          <w:color w:val="000000"/>
          <w:spacing w:val="-3"/>
          <w:sz w:val="22"/>
          <w:szCs w:val="22"/>
        </w:rPr>
        <w:t>PREGÃO PRESENCIAL 27/2019 - SRP</w:t>
      </w:r>
    </w:p>
    <w:p>
      <w:pPr>
        <w:spacing w:before="0"/>
        <w:jc w:val="both"/>
        <w:rPr>
          <w:color w:val="000000"/>
          <w:spacing w:val="-3"/>
          <w:sz w:val="22"/>
          <w:szCs w:val="22"/>
        </w:rPr>
      </w:pPr>
      <w:r>
        <w:rPr>
          <w:color w:val="000000"/>
          <w:spacing w:val="-3"/>
          <w:sz w:val="22"/>
          <w:szCs w:val="22"/>
        </w:rPr>
      </w:r>
    </w:p>
    <w:p>
      <w:pPr>
        <w:pStyle w:val="para3"/>
        <w:ind w:left="0"/>
        <w:spacing w:before="0"/>
        <w:rPr>
          <w:color w:val="000000"/>
          <w:spacing w:val="-3"/>
          <w:sz w:val="22"/>
          <w:szCs w:val="22"/>
        </w:rPr>
      </w:pPr>
      <w:r>
        <w:rPr>
          <w:color w:val="000000"/>
          <w:spacing w:val="-3"/>
          <w:sz w:val="22"/>
          <w:szCs w:val="22"/>
        </w:rPr>
        <w:t>RECIBO</w:t>
      </w:r>
    </w:p>
    <w:p>
      <w:pPr>
        <w:spacing w:before="0"/>
        <w:jc w:val="both"/>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27/2019 - SRP</w:t>
      </w:r>
      <w:r>
        <w:rPr>
          <w:color w:val="000000"/>
          <w:spacing w:val="-3"/>
          <w:szCs w:val="22"/>
        </w:rPr>
        <w:t xml:space="preserve">, para abertura às </w:t>
      </w:r>
      <w:r>
        <w:rPr>
          <w:b/>
          <w:color w:val="000000"/>
          <w:spacing w:val="-3"/>
          <w:szCs w:val="22"/>
        </w:rPr>
        <w:t>9</w:t>
      </w:r>
      <w:r>
        <w:rPr>
          <w:b/>
          <w:color w:val="000000"/>
          <w:spacing w:val="-3"/>
          <w:szCs w:val="22"/>
        </w:rPr>
        <w:t>h</w:t>
      </w:r>
      <w:r>
        <w:rPr>
          <w:b/>
          <w:color w:val="000000"/>
          <w:spacing w:val="-3"/>
          <w:szCs w:val="22"/>
        </w:rPr>
        <w:t xml:space="preserve"> do dia</w:t>
      </w:r>
      <w:r>
        <w:rPr>
          <w:b/>
          <w:color w:val="000000"/>
          <w:spacing w:val="-3"/>
          <w:szCs w:val="22"/>
        </w:rPr>
        <w:t xml:space="preserve"> 13 de </w:t>
      </w:r>
      <w:r>
        <w:rPr>
          <w:b/>
          <w:color w:val="000000"/>
          <w:spacing w:val="-3"/>
          <w:szCs w:val="22"/>
        </w:rPr>
        <w:t xml:space="preserve">agosto </w:t>
      </w:r>
      <w:r>
        <w:rPr>
          <w:b/>
          <w:color w:val="000000"/>
          <w:spacing w:val="-3"/>
          <w:szCs w:val="22"/>
        </w:rPr>
        <w:t xml:space="preserve">de </w:t>
      </w:r>
      <w:r>
        <w:rPr>
          <w:b/>
          <w:color w:val="000000"/>
          <w:spacing w:val="-3"/>
          <w:szCs w:val="22"/>
        </w:rPr>
        <w:t>2019</w:t>
      </w:r>
      <w:r>
        <w:rPr>
          <w:b/>
          <w:color w:val="000000"/>
          <w:spacing w:val="-3"/>
          <w:szCs w:val="22"/>
        </w:rPr>
        <w:t>.</w:t>
      </w:r>
      <w:r>
        <w:rPr>
          <w:b/>
          <w:color w:val="000000"/>
          <w:spacing w:val="-3"/>
          <w:szCs w:val="22"/>
        </w:rPr>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São Domingos do Norte/ES......../.........../..........</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E-MAIL</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TELEFONE/FAX</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 xml:space="preserve">ASSINATURA </w:t>
      </w:r>
    </w:p>
    <w:p>
      <w:pPr>
        <w:spacing w:before="0"/>
        <w:jc w:val="both"/>
        <w:rPr>
          <w:color w:val="000000"/>
          <w:sz w:val="22"/>
          <w:szCs w:val="22"/>
        </w:rPr>
      </w:pPr>
      <w:r>
        <w:rPr>
          <w:color w:val="000000"/>
          <w:sz w:val="22"/>
          <w:szCs w:val="22"/>
        </w:rPr>
      </w:r>
    </w:p>
    <w:p>
      <w:pPr>
        <w:pStyle w:val="para4"/>
        <w:ind w:left="0"/>
        <w:spacing w:before="0"/>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NOME DA EMPRESA E CARIMBO DE CNPJ</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pStyle w:val="para32"/>
        <w:spacing w:before="0" w:after="0"/>
        <w:jc w:val="both"/>
        <w:rPr>
          <w:i w:val="0"/>
          <w:color w:val="000000"/>
          <w:sz w:val="22"/>
          <w:szCs w:val="22"/>
        </w:rPr>
      </w:pPr>
      <w:r>
        <w:rPr>
          <w:i w:val="0"/>
          <w:color w:val="000000"/>
          <w:sz w:val="22"/>
          <w:szCs w:val="22"/>
        </w:rPr>
        <w:t>EDITAL DE PREGÃO PRESENCIAL N</w:t>
      </w:r>
      <w:r>
        <w:rPr>
          <w:i w:val="0"/>
          <w:color w:val="000000"/>
          <w:sz w:val="22"/>
          <w:szCs w:val="22"/>
          <w:u w:color="auto" w:val="single"/>
          <w:vertAlign w:val="superscript"/>
        </w:rPr>
        <w:t>o</w:t>
      </w:r>
      <w:r>
        <w:rPr>
          <w:i w:val="0"/>
          <w:color w:val="000000"/>
          <w:sz w:val="22"/>
          <w:szCs w:val="22"/>
        </w:rPr>
        <w:t xml:space="preserve"> 27/2019 - SRP - EXCLUSIVA ME/EPP</w:t>
      </w:r>
    </w:p>
    <w:p>
      <w:pPr>
        <w:pStyle w:val="para32"/>
        <w:spacing w:before="0" w:after="0"/>
        <w:jc w:val="both"/>
        <w:rPr>
          <w:i w:val="0"/>
          <w:color w:val="000000"/>
          <w:sz w:val="22"/>
          <w:szCs w:val="22"/>
        </w:rPr>
      </w:pPr>
      <w:r>
        <w:rPr>
          <w:i w:val="0"/>
          <w:color w:val="000000"/>
          <w:sz w:val="22"/>
          <w:szCs w:val="22"/>
        </w:rPr>
      </w:r>
    </w:p>
    <w:p>
      <w:pPr>
        <w:spacing w:before="0"/>
        <w:jc w:val="both"/>
        <w:rPr>
          <w:color w:val="000000"/>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Obras e Serviços Urbanos, Secretaria Municipal de Agricultura, Gabinete, Secretaria Municipal do Trabalho, Assistência e Desenvolvimento Social, Secretaria Municipal de Meio Ambiente, Procuradoria, Secretaria Municipal de Administração e Planejamento, Secretaria Municipal de Controle Interno e Transparência, Secretaria Municipal de Educação e Cultura,  de São Domingos do Norte</w:t>
      </w:r>
      <w:r>
        <w:rPr>
          <w:color w:val="000000"/>
          <w:sz w:val="22"/>
          <w:szCs w:val="22"/>
        </w:rPr>
        <w:t>, torna público para conhecimento dos interessados, que realizará licitação na modalidade "Pregão Presencial</w:t>
      </w:r>
      <w:r>
        <w:rPr>
          <w:color w:val="000000"/>
          <w:sz w:val="22"/>
          <w:szCs w:val="22"/>
        </w:rPr>
        <w:t>", do tipo “menor preço por lote</w:t>
      </w:r>
      <w:r>
        <w:rPr>
          <w:color w:val="000000"/>
          <w:sz w:val="22"/>
          <w:szCs w:val="22"/>
        </w:rPr>
        <w:t xml:space="preserve">”, </w:t>
      </w:r>
      <w:r>
        <w:rPr>
          <w:color w:val="000000"/>
          <w:sz w:val="22"/>
          <w:szCs w:val="22"/>
        </w:rPr>
        <w:t>para conhecimento dos interessados, que realizará licitação na modalidade "Pregão</w:t>
      </w:r>
      <w:r>
        <w:rPr>
          <w:color w:val="000000"/>
          <w:sz w:val="22"/>
          <w:szCs w:val="22"/>
        </w:rPr>
        <w:t xml:space="preserve"> Presencial</w:t>
      </w:r>
      <w:r>
        <w:rPr>
          <w:color w:val="000000"/>
          <w:sz w:val="22"/>
          <w:szCs w:val="22"/>
        </w:rPr>
        <w:t xml:space="preserve">", sob o critério “menor preço por lote”, para </w:t>
      </w:r>
      <w:r>
        <w:rPr>
          <w:b/>
          <w:bCs/>
          <w:color w:val="000000"/>
          <w:sz w:val="22"/>
          <w:szCs w:val="22"/>
        </w:rPr>
        <w:t xml:space="preserve">MATERIAL DE CONSUMO (MATERIAIS </w:t>
      </w:r>
      <w:r>
        <w:rPr>
          <w:b/>
          <w:bCs/>
          <w:color w:val="000000"/>
          <w:sz w:val="22"/>
          <w:szCs w:val="22"/>
        </w:rPr>
        <w:t>DE EXPEDIENTE</w:t>
      </w:r>
      <w:r>
        <w:rPr>
          <w:b/>
          <w:bCs/>
          <w:color w:val="000000"/>
          <w:sz w:val="22"/>
          <w:szCs w:val="22"/>
        </w:rPr>
        <w:t>)</w:t>
      </w:r>
      <w:r>
        <w:rPr>
          <w:color w:val="000000"/>
          <w:sz w:val="22"/>
          <w:szCs w:val="22"/>
        </w:rPr>
        <w:t>,</w:t>
      </w:r>
      <w:r>
        <w:rPr>
          <w:color w:val="000000"/>
          <w:sz w:val="22"/>
          <w:szCs w:val="22"/>
        </w:rPr>
        <w:t xml:space="preserve"> </w:t>
      </w:r>
      <w:r>
        <w:rPr>
          <w:color w:val="000000"/>
          <w:sz w:val="22"/>
          <w:szCs w:val="22"/>
        </w:rPr>
        <w:t>conforme Processos n</w:t>
      </w:r>
      <w:r>
        <w:rPr>
          <w:color w:val="000000"/>
          <w:sz w:val="22"/>
          <w:szCs w:val="22"/>
          <w:u w:color="auto" w:val="single"/>
          <w:vertAlign w:val="superscript"/>
        </w:rPr>
        <w:t>o</w:t>
      </w:r>
      <w:r>
        <w:rPr>
          <w:color w:val="000000"/>
          <w:sz w:val="22"/>
          <w:szCs w:val="22"/>
        </w:rPr>
        <w:t xml:space="preserve"> 2056/2019, 2082/2019, 2089/2019, 2171/2019, 2169/2019, 2191/2019, 2268/2019, 2466/2019, 2494/2019,</w:t>
      </w:r>
      <w:r>
        <w:rPr>
          <w:color w:val="000000"/>
          <w:sz w:val="22"/>
          <w:szCs w:val="22"/>
        </w:rPr>
        <w:t xml:space="preserve"> devidamente aprovado pela autoridade compete</w:t>
      </w:r>
      <w:r>
        <w:rPr>
          <w:color w:val="000000"/>
          <w:sz w:val="22"/>
          <w:szCs w:val="22"/>
        </w:rPr>
        <w:t>nte. O Pregão será realizado pel</w:t>
      </w:r>
      <w:r>
        <w:rPr>
          <w:color w:val="000000"/>
          <w:sz w:val="22"/>
          <w:szCs w:val="22"/>
        </w:rPr>
        <w:t>o pregoeiro</w:t>
      </w:r>
      <w:r>
        <w:rPr>
          <w:color w:val="000000"/>
          <w:sz w:val="22"/>
          <w:szCs w:val="22"/>
        </w:rPr>
        <w:t xml:space="preserve"> e Equipe de Apoio, designados pela Portaria N</w:t>
      </w:r>
      <w:r>
        <w:rPr>
          <w:color w:val="000000"/>
          <w:sz w:val="22"/>
          <w:szCs w:val="22"/>
          <w:u w:color="auto" w:val="single"/>
          <w:vertAlign w:val="superscript"/>
        </w:rPr>
        <w:t>o</w:t>
      </w:r>
      <w:r>
        <w:rPr>
          <w:color w:val="000000"/>
          <w:sz w:val="22"/>
          <w:szCs w:val="22"/>
        </w:rPr>
        <w:t xml:space="preserve"> </w:t>
      </w:r>
      <w:r>
        <w:rPr>
          <w:color w:val="000000"/>
          <w:sz w:val="22"/>
          <w:szCs w:val="22"/>
        </w:rPr>
        <w:t>7.</w:t>
      </w:r>
      <w:r>
        <w:rPr>
          <w:color w:val="000000"/>
          <w:sz w:val="22"/>
          <w:szCs w:val="22"/>
        </w:rPr>
        <w:t>627</w:t>
      </w:r>
      <w:r>
        <w:rPr>
          <w:color w:val="000000"/>
          <w:sz w:val="22"/>
          <w:szCs w:val="22"/>
        </w:rPr>
        <w:t>,</w:t>
      </w:r>
      <w:r>
        <w:rPr>
          <w:color w:val="000000"/>
          <w:sz w:val="22"/>
          <w:szCs w:val="22"/>
        </w:rPr>
        <w:t xml:space="preserve"> </w:t>
      </w:r>
      <w:r>
        <w:rPr>
          <w:color w:val="000000"/>
          <w:sz w:val="22"/>
          <w:szCs w:val="22"/>
        </w:rPr>
        <w:t xml:space="preserve">de </w:t>
      </w:r>
      <w:r>
        <w:rPr>
          <w:color w:val="000000"/>
          <w:sz w:val="22"/>
          <w:szCs w:val="22"/>
        </w:rPr>
        <w:t>01/04/2019</w:t>
      </w:r>
      <w:r>
        <w:rPr>
          <w:color w:val="000000"/>
          <w:sz w:val="22"/>
          <w:szCs w:val="22"/>
        </w:rPr>
        <w:t>, publ</w:t>
      </w:r>
      <w:r>
        <w:rPr>
          <w:color w:val="000000"/>
          <w:sz w:val="22"/>
          <w:szCs w:val="22"/>
        </w:rPr>
        <w:t xml:space="preserve">icada em </w:t>
      </w:r>
      <w:r>
        <w:rPr>
          <w:color w:val="000000"/>
          <w:sz w:val="22"/>
          <w:szCs w:val="22"/>
        </w:rPr>
        <w:t>01/04/2019, e regido pela 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w:t>
      </w:r>
      <w:r>
        <w:rPr>
          <w:color w:val="000000"/>
          <w:sz w:val="22"/>
          <w:szCs w:val="22"/>
        </w:rPr>
        <w:t>,</w:t>
      </w:r>
      <w:r>
        <w:rPr>
          <w:color w:val="000000"/>
          <w:sz w:val="22"/>
          <w:szCs w:val="22"/>
        </w:rPr>
        <w:t xml:space="preserve"> LC 123/2006, Decreto Federal 3.555/00,</w:t>
      </w:r>
      <w:r>
        <w:rPr>
          <w:color w:val="000000"/>
          <w:sz w:val="22"/>
          <w:szCs w:val="22"/>
        </w:rPr>
        <w:t xml:space="preserve"> </w:t>
      </w:r>
      <w:r>
        <w:rPr>
          <w:color w:val="000000"/>
          <w:sz w:val="22"/>
          <w:szCs w:val="22"/>
        </w:rPr>
        <w:t xml:space="preserve">Decreto Federal </w:t>
      </w:r>
      <w:r>
        <w:rPr>
          <w:color w:val="000000"/>
          <w:sz w:val="22"/>
          <w:szCs w:val="22"/>
        </w:rPr>
        <w:t>9.488/2018</w:t>
      </w:r>
      <w:r>
        <w:rPr>
          <w:color w:val="000000"/>
          <w:sz w:val="22"/>
          <w:szCs w:val="22"/>
        </w:rPr>
        <w:t xml:space="preserve"> e Decreto Municipal </w:t>
      </w:r>
      <w:r>
        <w:rPr>
          <w:color w:val="000000"/>
          <w:sz w:val="22"/>
          <w:szCs w:val="22"/>
        </w:rPr>
        <w:t>1.663</w:t>
      </w:r>
      <w:r>
        <w:rPr>
          <w:color w:val="000000"/>
          <w:sz w:val="22"/>
          <w:szCs w:val="22"/>
        </w:rPr>
        <w:t xml:space="preserve"> de </w:t>
      </w:r>
      <w:r>
        <w:rPr>
          <w:color w:val="000000"/>
          <w:sz w:val="22"/>
          <w:szCs w:val="22"/>
        </w:rPr>
        <w:t xml:space="preserve">11/06/2019 </w:t>
      </w:r>
      <w:r>
        <w:rPr>
          <w:color w:val="000000"/>
          <w:sz w:val="22"/>
          <w:szCs w:val="22"/>
        </w:rPr>
        <w:t>bem como pelas demais normas pertinentes e condições estabelecidas no presente Edital.</w:t>
      </w:r>
      <w:r>
        <w:rPr>
          <w:color w:val="000000"/>
          <w:sz w:val="22"/>
          <w:szCs w:val="22"/>
        </w:rPr>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denominado pregoeiro.</w:t>
      </w:r>
    </w:p>
    <w:p>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w:t>
      </w:r>
      <w:r>
        <w:rPr>
          <w:b/>
          <w:color w:val="000000"/>
          <w:sz w:val="22"/>
          <w:szCs w:val="22"/>
        </w:rPr>
        <w:t xml:space="preserve"> NO PROTOCOLO</w:t>
      </w:r>
      <w:r>
        <w:rPr>
          <w:color w:val="000000"/>
          <w:sz w:val="22"/>
          <w:szCs w:val="22"/>
        </w:rPr>
        <w:t xml:space="preserve">: até 8h do dia </w:t>
      </w:r>
      <w:r>
        <w:rPr>
          <w:b/>
          <w:color w:val="000000"/>
          <w:sz w:val="22"/>
          <w:szCs w:val="22"/>
        </w:rPr>
        <w:t>13/0</w:t>
      </w:r>
      <w:r>
        <w:rPr>
          <w:b/>
          <w:color w:val="000000"/>
          <w:sz w:val="22"/>
          <w:szCs w:val="22"/>
        </w:rPr>
        <w:t>8/2019</w:t>
      </w:r>
      <w:r>
        <w:rPr>
          <w:b/>
          <w:color w:val="000000"/>
          <w:sz w:val="22"/>
          <w:szCs w:val="22"/>
        </w:rPr>
        <w:t>.</w:t>
      </w:r>
      <w:r>
        <w:rPr>
          <w:b/>
          <w:color w:val="000000"/>
          <w:sz w:val="22"/>
          <w:szCs w:val="22"/>
        </w:rPr>
      </w:r>
    </w:p>
    <w:p>
      <w:pPr>
        <w:spacing w:before="0"/>
        <w:jc w:val="both"/>
        <w:rPr>
          <w:b/>
          <w:color w:val="000000"/>
          <w:sz w:val="22"/>
          <w:szCs w:val="22"/>
        </w:rPr>
      </w:pPr>
      <w:r>
        <w:rPr>
          <w:color w:val="000000"/>
          <w:sz w:val="22"/>
          <w:szCs w:val="22"/>
        </w:rPr>
        <w:t xml:space="preserve">1.4. </w:t>
      </w:r>
      <w:r>
        <w:rPr>
          <w:b/>
          <w:color w:val="000000"/>
          <w:sz w:val="22"/>
          <w:szCs w:val="22"/>
        </w:rPr>
        <w:t xml:space="preserve">DATA E HORÁRIO </w:t>
      </w:r>
      <w:r>
        <w:rPr>
          <w:b/>
          <w:color w:val="000000"/>
          <w:sz w:val="22"/>
          <w:szCs w:val="22"/>
        </w:rPr>
        <w:t>DO CREDENCIAMENTO</w:t>
      </w:r>
      <w:r>
        <w:rPr>
          <w:color w:val="000000"/>
          <w:sz w:val="22"/>
          <w:szCs w:val="22"/>
        </w:rPr>
        <w:t>: até às 8h30 do dia</w:t>
      </w:r>
      <w:r>
        <w:rPr>
          <w:b/>
          <w:color w:val="000000"/>
          <w:sz w:val="22"/>
          <w:szCs w:val="22"/>
        </w:rPr>
        <w:t xml:space="preserve"> </w:t>
      </w:r>
      <w:r>
        <w:rPr>
          <w:b/>
          <w:color w:val="000000"/>
          <w:sz w:val="22"/>
          <w:szCs w:val="22"/>
        </w:rPr>
        <w:t>13/0</w:t>
      </w:r>
      <w:r>
        <w:rPr>
          <w:b/>
          <w:color w:val="000000"/>
          <w:sz w:val="22"/>
          <w:szCs w:val="22"/>
        </w:rPr>
        <w:t>8/2019</w:t>
      </w:r>
      <w:r>
        <w:rPr>
          <w:b/>
          <w:color w:val="000000"/>
          <w:sz w:val="22"/>
          <w:szCs w:val="22"/>
        </w:rPr>
        <w:t>.</w:t>
      </w:r>
      <w:r>
        <w:rPr>
          <w:b/>
          <w:color w:val="000000"/>
          <w:sz w:val="22"/>
          <w:szCs w:val="22"/>
        </w:rPr>
      </w:r>
    </w:p>
    <w:p>
      <w:pPr>
        <w:spacing w:before="0"/>
        <w:jc w:val="both"/>
        <w:rPr>
          <w:b/>
          <w:color w:val="000000"/>
          <w:sz w:val="22"/>
          <w:szCs w:val="22"/>
        </w:rPr>
      </w:pPr>
      <w:r>
        <w:rPr>
          <w:color w:val="000000"/>
          <w:sz w:val="22"/>
          <w:szCs w:val="22"/>
        </w:rPr>
        <w:t xml:space="preserve">1.5. </w:t>
      </w:r>
      <w:r>
        <w:rPr>
          <w:b/>
          <w:color w:val="000000"/>
          <w:sz w:val="22"/>
          <w:szCs w:val="22"/>
        </w:rPr>
        <w:t>DATA E HORÁRIO DE ABERTURA D</w:t>
      </w:r>
      <w:r>
        <w:rPr>
          <w:b/>
          <w:color w:val="000000"/>
          <w:sz w:val="22"/>
          <w:szCs w:val="22"/>
        </w:rPr>
        <w:t>A SESSÃO PÚBLICA</w:t>
      </w:r>
      <w:r>
        <w:rPr>
          <w:color w:val="000000"/>
          <w:sz w:val="22"/>
          <w:szCs w:val="22"/>
        </w:rPr>
        <w:t xml:space="preserve">: às 9h </w:t>
      </w:r>
      <w:r>
        <w:rPr>
          <w:b/>
          <w:color w:val="000000"/>
          <w:sz w:val="22"/>
          <w:szCs w:val="22"/>
        </w:rPr>
        <w:t>do</w:t>
      </w:r>
      <w:r>
        <w:rPr>
          <w:b/>
          <w:color w:val="000000"/>
          <w:sz w:val="22"/>
          <w:szCs w:val="22"/>
        </w:rPr>
        <w:t xml:space="preserve"> </w:t>
      </w:r>
      <w:r>
        <w:rPr>
          <w:b/>
          <w:color w:val="000000"/>
          <w:sz w:val="22"/>
          <w:szCs w:val="22"/>
        </w:rPr>
        <w:t>13/0</w:t>
      </w:r>
      <w:r>
        <w:rPr>
          <w:b/>
          <w:color w:val="000000"/>
          <w:sz w:val="22"/>
          <w:szCs w:val="22"/>
        </w:rPr>
        <w:t>8/</w:t>
      </w:r>
      <w:r>
        <w:rPr>
          <w:b/>
          <w:color w:val="000000"/>
          <w:sz w:val="22"/>
          <w:szCs w:val="22"/>
        </w:rPr>
        <w:t>2019</w:t>
      </w:r>
      <w:r>
        <w:rPr>
          <w:b/>
          <w:color w:val="000000"/>
          <w:sz w:val="22"/>
          <w:szCs w:val="22"/>
        </w:rPr>
        <w:t>.</w:t>
      </w:r>
      <w:r>
        <w:rPr>
          <w:b/>
          <w:color w:val="000000"/>
          <w:sz w:val="22"/>
          <w:szCs w:val="22"/>
        </w:rPr>
      </w:r>
    </w:p>
    <w:p>
      <w:pPr>
        <w:spacing w:before="0"/>
        <w:jc w:val="both"/>
        <w:rPr>
          <w:color w:val="000000"/>
          <w:sz w:val="22"/>
          <w:szCs w:val="22"/>
        </w:rPr>
      </w:pPr>
      <w:r>
        <w:rPr>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27/2019 - SRP - </w:t>
      </w:r>
      <w:r>
        <w:rPr>
          <w:color w:val="000000"/>
          <w:sz w:val="22"/>
          <w:szCs w:val="22"/>
        </w:rPr>
        <w:t xml:space="preserve">Envelope nº 001 – </w:t>
      </w:r>
      <w:r>
        <w:rPr>
          <w:b/>
          <w:bCs/>
          <w:color w:val="000000"/>
          <w:sz w:val="22"/>
          <w:szCs w:val="22"/>
        </w:rPr>
        <w:t>PROPOSTA”</w:t>
      </w:r>
      <w:r>
        <w:rPr>
          <w:color w:val="000000"/>
          <w:sz w:val="22"/>
          <w:szCs w:val="22"/>
        </w:rPr>
        <w:t>;</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27/2019 - SRP – </w:t>
      </w:r>
      <w:r>
        <w:rPr>
          <w:color w:val="000000"/>
          <w:sz w:val="22"/>
          <w:szCs w:val="22"/>
        </w:rPr>
        <w:t xml:space="preserve">Envelope nº 002 – </w:t>
      </w:r>
      <w:r>
        <w:rPr>
          <w:b/>
          <w:bCs/>
          <w:color w:val="000000"/>
          <w:sz w:val="22"/>
          <w:szCs w:val="22"/>
        </w:rPr>
        <w:t>HABILITAÇÃO</w:t>
      </w:r>
      <w:r>
        <w:rPr>
          <w:color w:val="000000"/>
          <w:sz w:val="22"/>
          <w:szCs w:val="22"/>
        </w:rPr>
        <w:t>".</w:t>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color w:val="000000"/>
          <w:sz w:val="22"/>
          <w:szCs w:val="22"/>
        </w:rPr>
      </w:pPr>
      <w:r>
        <w:rPr>
          <w:color w:val="000000"/>
          <w:sz w:val="22"/>
          <w:szCs w:val="22"/>
        </w:rPr>
        <w:t>2.1. Aquisição de Materiais de Expediente (papelaria, cartucho, toner e outros)  para atender as necessidades das diversas secretarias deste município, tudo conforme anexo I e Termo de Referência.</w:t>
      </w:r>
    </w:p>
    <w:p>
      <w:pPr>
        <w:spacing w:before="0"/>
        <w:jc w:val="both"/>
        <w:rPr>
          <w:color w:val="000000"/>
          <w:sz w:val="22"/>
          <w:szCs w:val="22"/>
        </w:rPr>
      </w:pPr>
      <w:r>
        <w:rPr>
          <w:color w:val="000000"/>
          <w:sz w:val="22"/>
          <w:szCs w:val="22"/>
        </w:rPr>
        <w:t xml:space="preserve"> </w:t>
      </w:r>
    </w:p>
    <w:p>
      <w:pPr>
        <w:spacing w:before="0"/>
        <w:jc w:val="both"/>
        <w:rPr>
          <w:b/>
          <w:bCs/>
          <w:color w:val="000000"/>
          <w:sz w:val="22"/>
          <w:szCs w:val="22"/>
        </w:rPr>
      </w:pPr>
      <w:r>
        <w:rPr>
          <w:b/>
          <w:bCs/>
          <w:color w:val="000000"/>
          <w:sz w:val="22"/>
          <w:szCs w:val="22"/>
        </w:rPr>
        <w:t>3 - DAS CONDIÇÕES DE RECEBIMENTO DO OBJETO DA LICITAÇÃO</w:t>
      </w:r>
    </w:p>
    <w:p>
      <w:pPr>
        <w:spacing w:before="0"/>
        <w:jc w:val="both"/>
        <w:rPr>
          <w:sz w:val="22"/>
          <w:szCs w:val="22"/>
        </w:rPr>
      </w:pPr>
      <w:r>
        <w:rPr>
          <w:color w:val="000000"/>
          <w:sz w:val="22"/>
          <w:szCs w:val="22"/>
        </w:rPr>
        <w:t xml:space="preserve">3.1. </w:t>
      </w:r>
      <w:r>
        <w:rPr>
          <w:sz w:val="22"/>
          <w:szCs w:val="22"/>
        </w:rPr>
        <w:t>O recebimento do objeto da presente licitação se fará na forma estabelecida no termo de referência, anexo a este edital.</w:t>
      </w:r>
      <w:r>
        <w:rPr>
          <w:color w:val="000000"/>
          <w:sz w:val="22"/>
          <w:szCs w:val="22"/>
        </w:rPr>
        <w:t xml:space="preserve"> </w:t>
      </w:r>
      <w:r>
        <w:rPr>
          <w:sz w:val="22"/>
          <w:szCs w:val="22"/>
        </w:rPr>
        <w:t xml:space="preserve">A entrega deverá ser efetuada em até 05 (cinco) dias após a expedição da Ordem de Fornecimento emitida pelo Setor de Compras, contando-se o prazo a partir da comunicação formal que será efetuada via email ou outro meio hábil. A entrega será de forma </w:t>
      </w:r>
      <w:r>
        <w:rPr>
          <w:b/>
          <w:sz w:val="22"/>
          <w:szCs w:val="22"/>
        </w:rPr>
        <w:t>parcelada</w:t>
      </w:r>
      <w:r>
        <w:rPr>
          <w:sz w:val="22"/>
          <w:szCs w:val="22"/>
        </w:rPr>
        <w:t>, mediante solicitação das Secretarias desta instituição. As mercadorias deverão ser entregues nos locais destinados no almoxarifado de cada Secretaria deste Município, bem como a cópia reprográfica da “Ordem de Fornecimento”.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DOTAÇÃO ORÇAMENTÁRIA</w:t>
      </w:r>
    </w:p>
    <w:p>
      <w:pPr>
        <w:spacing w:before="0"/>
        <w:jc w:val="both"/>
        <w:rPr>
          <w:color w:val="000000"/>
          <w:sz w:val="22"/>
          <w:szCs w:val="22"/>
        </w:rPr>
      </w:pPr>
      <w:r>
        <w:rPr>
          <w:color w:val="000000"/>
          <w:sz w:val="22"/>
          <w:szCs w:val="22"/>
        </w:rPr>
        <w:t>4.1. As despesas decorrentes da presente licitação serão pagos com as seguintes dotações orçamentárias:</w:t>
      </w:r>
    </w:p>
    <w:p>
      <w:pPr>
        <w:spacing w:before="0"/>
        <w:jc w:val="both"/>
        <w:rPr>
          <w:color w:val="000000"/>
          <w:sz w:val="22"/>
          <w:szCs w:val="22"/>
        </w:rPr>
      </w:pPr>
      <w:r>
        <w:rPr>
          <w:color w:val="000000"/>
          <w:sz w:val="22"/>
          <w:szCs w:val="22"/>
        </w:rPr>
        <w:t>Secretaria Municipal de Administração e Finanças: fichas 545 - 1001, 537 - 1001.</w:t>
      </w:r>
    </w:p>
    <w:p>
      <w:pPr>
        <w:spacing w:before="0"/>
        <w:jc w:val="both"/>
        <w:rPr>
          <w:color w:val="000000"/>
          <w:sz w:val="22"/>
          <w:szCs w:val="22"/>
        </w:rPr>
      </w:pPr>
      <w:r>
        <w:rPr>
          <w:color w:val="000000"/>
          <w:sz w:val="22"/>
          <w:szCs w:val="22"/>
        </w:rPr>
        <w:t>Secretaria Municipal de Educação e Cultura: fichas 93 - 1001, 120 - 1120, 175 - 1120, 187 - 1120, 226 - 1001.</w:t>
      </w:r>
    </w:p>
    <w:p>
      <w:pPr>
        <w:spacing w:before="0"/>
        <w:jc w:val="both"/>
        <w:rPr>
          <w:color w:val="000000"/>
          <w:sz w:val="22"/>
          <w:szCs w:val="22"/>
        </w:rPr>
      </w:pPr>
      <w:r>
        <w:rPr>
          <w:color w:val="000000"/>
          <w:sz w:val="22"/>
          <w:szCs w:val="22"/>
        </w:rPr>
        <w:t>Secretaria Municipal de Obras e Serviços Urbanos: ficha 382 - 1001.</w:t>
      </w:r>
    </w:p>
    <w:p>
      <w:pPr>
        <w:spacing w:before="0"/>
        <w:jc w:val="both"/>
        <w:rPr>
          <w:color w:val="000000"/>
          <w:sz w:val="22"/>
          <w:szCs w:val="22"/>
        </w:rPr>
      </w:pPr>
      <w:r>
        <w:rPr>
          <w:color w:val="000000"/>
          <w:sz w:val="22"/>
          <w:szCs w:val="22"/>
        </w:rPr>
        <w:t>Gabinete do Prefeito: fichas 04 - 1001, 19 - 1001, 33 - 1001, 43 - 1001.</w:t>
      </w:r>
    </w:p>
    <w:p>
      <w:pPr>
        <w:spacing w:before="0"/>
        <w:jc w:val="both"/>
        <w:rPr>
          <w:color w:val="000000"/>
          <w:sz w:val="22"/>
          <w:szCs w:val="22"/>
        </w:rPr>
      </w:pPr>
      <w:r>
        <w:rPr>
          <w:color w:val="000000"/>
          <w:sz w:val="22"/>
          <w:szCs w:val="22"/>
        </w:rPr>
        <w:t>Procuradoria Geral do Município: ficha 61 - 1001.</w:t>
      </w:r>
    </w:p>
    <w:p>
      <w:pPr>
        <w:spacing w:before="0"/>
        <w:jc w:val="both"/>
        <w:rPr>
          <w:color w:val="000000"/>
          <w:sz w:val="22"/>
          <w:szCs w:val="22"/>
        </w:rPr>
      </w:pPr>
      <w:r>
        <w:rPr>
          <w:color w:val="000000"/>
          <w:sz w:val="22"/>
          <w:szCs w:val="22"/>
        </w:rPr>
        <w:t>Secretaria Municipal de Agricultura: ficha 452 - 1001.</w:t>
      </w:r>
    </w:p>
    <w:p>
      <w:pPr>
        <w:spacing w:before="0"/>
        <w:jc w:val="both"/>
        <w:rPr>
          <w:color w:val="000000"/>
          <w:sz w:val="22"/>
          <w:szCs w:val="22"/>
        </w:rPr>
      </w:pPr>
      <w:r>
        <w:rPr>
          <w:color w:val="000000"/>
          <w:sz w:val="22"/>
          <w:szCs w:val="22"/>
        </w:rPr>
        <w:t>Secretaria Municipal de Meio Ambiente: ficha 498 - 1001.</w:t>
      </w:r>
    </w:p>
    <w:p>
      <w:pPr>
        <w:spacing w:before="0"/>
        <w:jc w:val="both"/>
        <w:rPr>
          <w:color w:val="000000"/>
          <w:sz w:val="22"/>
          <w:szCs w:val="22"/>
        </w:rPr>
      </w:pPr>
      <w:r>
        <w:rPr>
          <w:color w:val="000000"/>
          <w:sz w:val="22"/>
          <w:szCs w:val="22"/>
        </w:rPr>
        <w:t>Secretaria Municipal do Trabalho, Assistência e Desenvolvimento Social: fichas 279 - 1001, 305 - 1001, 343 - 1390, 367 - 1390, 373 - 1001, 332 - 1390.</w:t>
      </w:r>
    </w:p>
    <w:p>
      <w:pPr>
        <w:spacing w:before="0"/>
        <w:jc w:val="both"/>
        <w:rPr>
          <w:color w:val="000000"/>
          <w:sz w:val="22"/>
          <w:szCs w:val="22"/>
        </w:rPr>
      </w:pPr>
      <w:r>
        <w:rPr>
          <w:color w:val="000000"/>
          <w:sz w:val="22"/>
          <w:szCs w:val="22"/>
        </w:rPr>
        <w:t>Secretaria Municipal de Controle Interno e Transparência: ficha 74 - 1001.</w:t>
      </w:r>
    </w:p>
    <w:p>
      <w:pPr>
        <w:spacing w:before="0"/>
        <w:jc w:val="both"/>
        <w:rPr>
          <w:color w:val="000000"/>
          <w:sz w:val="22"/>
          <w:szCs w:val="22"/>
        </w:rPr>
      </w:pPr>
      <w:r>
        <w:rPr>
          <w:color w:val="000000"/>
          <w:sz w:val="22"/>
          <w:szCs w:val="22"/>
        </w:rPr>
        <w:t>Secretaria Municipal de Fazenda: fichas 577 - 1001, 597 - 1001.</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após a emissão da Nota fiscal e o atestado do fiscal da ata no prazo máximo de 30 (trinta) dias.</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(a),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administrativos.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color w:val="000000"/>
          <w:sz w:val="22"/>
          <w:szCs w:val="22"/>
        </w:rPr>
      </w:pPr>
      <w:r>
        <w:rPr>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ao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w:t>
      </w:r>
    </w:p>
    <w:p>
      <w:pPr>
        <w:spacing w:before="0"/>
        <w:jc w:val="both"/>
        <w:rPr>
          <w:color w:val="000000"/>
          <w:sz w:val="22"/>
          <w:szCs w:val="22"/>
        </w:rPr>
      </w:pPr>
      <w:r>
        <w:rPr>
          <w:color w:val="000000"/>
          <w:sz w:val="22"/>
          <w:szCs w:val="22"/>
        </w:rPr>
        <w:t>13.7.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 pos as propostas não serão digitadas por nenhum membro.</w:t>
      </w:r>
      <w:r>
        <w:rPr>
          <w:b/>
          <w:bCs/>
          <w:sz w:val="22"/>
          <w:szCs w:val="22"/>
        </w:rPr>
      </w:r>
    </w:p>
    <w:p>
      <w:pPr>
        <w:spacing w:before="0"/>
        <w:jc w:val="both"/>
        <w:rPr>
          <w:sz w:val="22"/>
          <w:szCs w:val="22"/>
        </w:rPr>
      </w:pPr>
      <w:r>
        <w:rPr>
          <w:sz w:val="22"/>
          <w:szCs w:val="22"/>
        </w:rPr>
        <w:t>14.6. O licitante deverá solicitar esse arquivo até as 16:30min do dia antecedente ao certame marcado.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lote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apresentou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7h30 as 11h30 e das 12h30 as 16h30 de segunda a quinta, e de 07:00min as 11:00min dia de sexta - feira.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sz w:val="22"/>
          <w:szCs w:val="22"/>
        </w:rPr>
      </w:pPr>
      <w:r>
        <w:rPr>
          <w:sz w:val="22"/>
          <w:szCs w:val="22"/>
        </w:rPr>
        <w:t>18.5. Com base no art. 62, § 4° da Lei 8.666/93, o instrumento do contrato será substituído pela autorização de compra (ordem de fornecimento).</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20 - DAS SANÇÕES ADMINISTRATIVAS</w:t>
      </w:r>
    </w:p>
    <w:p>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20.1.1.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20.1.2. Os dias de atraso serão contabilizados em conformidade com o cronograma de execução do objeto contratual;</w:t>
      </w:r>
    </w:p>
    <w:p>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20.2.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21. DA ENTREGA E RECEBIMENTO DO MATERIAL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21.1. O recebimento do objeto deverá ser entregue em até 05 (cinco) dias, após o pedido de fornecimento.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21.2. Os materiais a serem entregues deverão atender todo o disposto do item4 do termo de referência, anexo VIII a este edital.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b/>
          <w:bCs/>
          <w:color w:val="000000"/>
          <w:sz w:val="22"/>
          <w:szCs w:val="22"/>
        </w:rPr>
      </w:pPr>
      <w:r>
        <w:rPr>
          <w:b/>
          <w:bCs/>
          <w:color w:val="000000"/>
          <w:sz w:val="22"/>
          <w:szCs w:val="22"/>
        </w:rPr>
        <w:t>22 - DAS DISPOSIÇÕES FINAIS</w:t>
      </w:r>
    </w:p>
    <w:p>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22.4.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22.9. Os casos não previstos neste Edital serão decididos pelo pregoeiro. </w:t>
      </w:r>
    </w:p>
    <w:p>
      <w:pPr>
        <w:spacing w:before="0"/>
        <w:jc w:val="both"/>
        <w:rPr>
          <w:color w:val="000000"/>
          <w:sz w:val="22"/>
          <w:szCs w:val="22"/>
        </w:rPr>
      </w:pPr>
      <w:r>
        <w:rPr>
          <w:color w:val="000000"/>
          <w:sz w:val="22"/>
          <w:szCs w:val="22"/>
        </w:rPr>
        <w:t>22.10. A participação do licitante nesta licitação, implica aceitação de todos os termos deste Edital.</w:t>
      </w:r>
    </w:p>
    <w:p>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22.14. No caso de desfazimento do processo licitatório, fica assegurada a ampla defesa e o contraditório.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26 de julho de 2019.</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jc w:val="both"/>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Evanderson Aragão Colombo</w:t>
      </w:r>
    </w:p>
    <w:p>
      <w:pPr>
        <w:spacing w:before="0"/>
        <w:jc w:val="both"/>
        <w:rPr>
          <w:sz w:val="22"/>
          <w:szCs w:val="22"/>
        </w:rPr>
      </w:pPr>
      <w:r>
        <w:rPr>
          <w:sz w:val="22"/>
          <w:szCs w:val="22"/>
        </w:rPr>
        <w:t>Lucilda de Souza Malagutti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rPr>
          <w:b/>
          <w:color w:val="000000"/>
          <w:sz w:val="22"/>
          <w:szCs w:val="22"/>
        </w:rPr>
      </w:pPr>
      <w:r>
        <w:rPr>
          <w:b/>
          <w:color w:val="000000"/>
          <w:sz w:val="22"/>
          <w:szCs w:val="22"/>
        </w:rPr>
        <w:t>ANEXO I</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spacing w:before="0"/>
        <w:jc w:val="both"/>
        <w:rPr>
          <w:color w:val="000000"/>
          <w:sz w:val="22"/>
          <w:szCs w:val="22"/>
        </w:rPr>
      </w:pPr>
      <w:r>
        <w:rPr>
          <w:color w:val="000000"/>
          <w:sz w:val="22"/>
          <w:szCs w:val="22"/>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27/2019 - SRP</w:t>
      </w:r>
    </w:p>
    <w:p>
      <w:pPr>
        <w:pStyle w:val="para33"/>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Ao</w:t>
      </w:r>
    </w:p>
    <w:p>
      <w:pPr>
        <w:spacing w:before="0"/>
        <w:jc w:val="both"/>
        <w:rPr>
          <w:color w:val="000000"/>
          <w:sz w:val="22"/>
          <w:szCs w:val="22"/>
        </w:rPr>
      </w:pPr>
      <w:r>
        <w:rPr>
          <w:color w:val="000000"/>
          <w:sz w:val="22"/>
          <w:szCs w:val="22"/>
        </w:rPr>
        <w:t>Pregoeiro e/ou Equipe de Apoio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Prefeitura Municipal de São Domingos do Norte/ES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Prezados Senhores,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Atenciosamente,</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 .......... de ..................... de 2019.</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do representante legal da empresa)</w:t>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 hora marcada para inicio da licitação, prevista no presente Edital e só terá validade se estiver acompanhada da Certidão Simplificada da Junta Comercial expedida em até 120 (cento e vinte) dias anterior à abertura do certame, que comprove tal situação do representante legal da empresa.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27/2019 - SRP</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III - PROPOSTA COMERCIAL</w:t>
      </w:r>
    </w:p>
    <w:p>
      <w:pPr>
        <w:spacing w:before="0"/>
        <w:jc w:val="both"/>
        <w:rPr>
          <w:b/>
          <w:color w:val="000000"/>
          <w:sz w:val="22"/>
          <w:szCs w:val="22"/>
        </w:rPr>
      </w:pPr>
      <w:r>
        <w:rPr>
          <w:b/>
          <w:color w:val="000000"/>
          <w:sz w:val="22"/>
          <w:szCs w:val="22"/>
        </w:rPr>
        <w:t>(modelo anexo I ver em pdf)</w:t>
      </w:r>
    </w:p>
    <w:p>
      <w:pPr>
        <w:spacing w:before="0"/>
        <w:jc w:val="both"/>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27/2019 - SRP</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dos supracitados, de acordo com todas as condições do PREGÃO PRESENCIAL Nº 27/2019 - SRP e seus anexos.</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color w:val="000000"/>
          <w:sz w:val="22"/>
          <w:szCs w:val="22"/>
        </w:rPr>
      </w:pPr>
      <w:r>
        <w:rPr>
          <w:color w:val="000000"/>
          <w:sz w:val="22"/>
          <w:szCs w:val="22"/>
        </w:rPr>
        <w:t>c) A Contratada terá que cumprir todos os requisitos conforme anexo I e Termo de Referência.</w:t>
      </w:r>
    </w:p>
    <w:p>
      <w:pPr>
        <w:spacing w:before="0"/>
        <w:jc w:val="both"/>
        <w:rPr>
          <w:b/>
          <w:bCs/>
          <w:sz w:val="22"/>
          <w:szCs w:val="22"/>
        </w:rPr>
      </w:pPr>
      <w:r>
        <w:rPr>
          <w:sz w:val="22"/>
          <w:szCs w:val="22"/>
        </w:rPr>
        <w:t xml:space="preserve">d)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p>
    <w:p>
      <w:pPr>
        <w:spacing w:before="0"/>
        <w:jc w:val="both"/>
        <w:rPr>
          <w:color w:val="000000"/>
          <w:sz w:val="22"/>
          <w:szCs w:val="22"/>
        </w:rPr>
      </w:pPr>
      <w:r>
        <w:rPr>
          <w:color w:val="000000"/>
          <w:sz w:val="22"/>
          <w:szCs w:val="22"/>
        </w:rPr>
      </w:r>
      <w:r>
        <w:br w:type="page"/>
      </w:r>
    </w:p>
    <w:p>
      <w:pPr>
        <w:spacing w:before="0"/>
        <w:jc w:val="both"/>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27/2019 - SRP</w:t>
      </w:r>
    </w:p>
    <w:p>
      <w:pPr>
        <w:spacing w:before="0"/>
        <w:rPr>
          <w:b/>
          <w:color w:val="000000"/>
          <w:sz w:val="22"/>
          <w:szCs w:val="22"/>
        </w:rPr>
      </w:pPr>
      <w:r>
        <w:rPr>
          <w:b/>
          <w:color w:val="000000"/>
          <w:sz w:val="22"/>
          <w:szCs w:val="22"/>
        </w:rPr>
        <w:t>ANEXO IV - EXIGÊNCIAS PARA HABILITAÇÃO</w:t>
      </w:r>
    </w:p>
    <w:p>
      <w:pPr>
        <w:spacing w:before="0"/>
        <w:jc w:val="both"/>
        <w:rPr>
          <w:b/>
          <w:color w:val="000000"/>
          <w:sz w:val="22"/>
          <w:szCs w:val="22"/>
        </w:rPr>
      </w:pP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i/>
          <w:sz w:val="22"/>
          <w:szCs w:val="22"/>
        </w:rPr>
      </w:pPr>
      <w:r>
        <w:rPr>
          <w:b/>
          <w:bCs/>
          <w:i/>
          <w:sz w:val="22"/>
          <w:szCs w:val="22"/>
        </w:rPr>
        <w:t>a)</w:t>
      </w:r>
      <w:r>
        <w:rPr>
          <w:i/>
          <w:sz w:val="22"/>
          <w:szCs w:val="22"/>
        </w:rPr>
        <w:t xml:space="preserve">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color w:val="000000"/>
          <w:sz w:val="22"/>
          <w:szCs w:val="22"/>
        </w:rPr>
      </w:pPr>
      <w:r>
        <w:rPr>
          <w:color w:val="000000"/>
          <w:sz w:val="22"/>
          <w:szCs w:val="22"/>
        </w:rPr>
        <w:t xml:space="preserve">1.6.3. Anexo XI </w:t>
      </w:r>
      <w:r>
        <w:rPr>
          <w:sz w:val="22"/>
          <w:szCs w:val="22"/>
        </w:rPr>
        <w:t>do presente Edital.</w:t>
      </w: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32"/>
        <w:spacing w:before="0" w:after="0"/>
        <w:jc w:val="both"/>
        <w:rPr>
          <w:i w:val="0"/>
          <w:iCs w:val="0"/>
          <w:color w:val="000000"/>
          <w:sz w:val="22"/>
          <w:szCs w:val="22"/>
        </w:rPr>
      </w:pPr>
      <w:r>
        <w:rPr>
          <w:i w:val="0"/>
          <w:iCs w:val="0"/>
          <w:color w:val="000000"/>
          <w:sz w:val="22"/>
          <w:szCs w:val="22"/>
        </w:rPr>
      </w:r>
    </w:p>
    <w:p>
      <w:pPr>
        <w:pStyle w:val="para32"/>
        <w:spacing w:before="0" w:after="0"/>
        <w:jc w:val="both"/>
        <w:rPr>
          <w:i w:val="0"/>
          <w:iCs w:val="0"/>
          <w:color w:val="000000"/>
          <w:sz w:val="22"/>
          <w:szCs w:val="22"/>
        </w:rPr>
      </w:pPr>
      <w:r>
        <w:rPr>
          <w:i w:val="0"/>
          <w:iCs w:val="0"/>
          <w:color w:val="000000"/>
          <w:sz w:val="22"/>
          <w:szCs w:val="22"/>
        </w:rPr>
        <w:t>PREGÃO PRESENCIAL Nº 27/2019 - SRP</w:t>
      </w:r>
    </w:p>
    <w:p>
      <w:pPr>
        <w:pStyle w:val="para32"/>
        <w:spacing w:before="0" w:after="0"/>
        <w:jc w:val="both"/>
        <w:rPr>
          <w:i w:val="0"/>
          <w:iCs w:val="0"/>
          <w:color w:val="000000"/>
          <w:sz w:val="22"/>
          <w:szCs w:val="22"/>
        </w:rPr>
      </w:pPr>
      <w:r>
        <w:rPr>
          <w:i w:val="0"/>
          <w:iCs w:val="0"/>
          <w:color w:val="000000"/>
          <w:sz w:val="22"/>
          <w:szCs w:val="22"/>
        </w:rPr>
      </w:r>
    </w:p>
    <w:p>
      <w:pPr>
        <w:pStyle w:val="para33"/>
        <w:spacing w:before="0"/>
        <w:jc w:val="both"/>
        <w:rPr>
          <w:color w:val="000000"/>
          <w:sz w:val="22"/>
          <w:szCs w:val="22"/>
        </w:rPr>
      </w:pPr>
      <w:r>
        <w:rPr>
          <w:color w:val="000000"/>
          <w:sz w:val="22"/>
          <w:szCs w:val="22"/>
        </w:rPr>
        <w:t>ANEXO V - DECLARAÇÃO DE ATENDIMENTO AO INCISO XXXIII DO ART. 7.º DA CONSTITUIÇÃO FEDERAL</w:t>
      </w:r>
    </w:p>
    <w:p>
      <w:pPr>
        <w:pStyle w:val="para33"/>
        <w:spacing w:before="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Apresentar na Habilitação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27/2019 - SRP</w:t>
      </w:r>
    </w:p>
    <w:p>
      <w:pPr>
        <w:spacing w:before="0"/>
        <w:jc w:val="both"/>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2019.</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27/2019 -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pStyle w:val="para1"/>
        <w:spacing w:before="0"/>
        <w:rPr>
          <w:iCs/>
          <w:color w:val="000000"/>
          <w:sz w:val="22"/>
          <w:szCs w:val="22"/>
        </w:rPr>
      </w:pPr>
      <w:r>
        <w:rPr>
          <w:iCs/>
          <w:color w:val="000000"/>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spacing w:before="0"/>
        <w:jc w:val="both"/>
        <w:rPr>
          <w:sz w:val="22"/>
          <w:szCs w:val="22"/>
        </w:rPr>
      </w:pPr>
      <w:r>
        <w:rPr>
          <w:sz w:val="22"/>
          <w:szCs w:val="22"/>
        </w:rPr>
      </w:r>
    </w:p>
    <w:p>
      <w:pPr>
        <w:pStyle w:val="para1"/>
        <w:spacing w:before="0"/>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27/2019 - SRP</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VII</w:t>
      </w:r>
    </w:p>
    <w:p>
      <w:pPr>
        <w:pStyle w:val="para33"/>
        <w:spacing w:before="0"/>
        <w:jc w:val="both"/>
        <w:rPr>
          <w:color w:val="000000"/>
          <w:sz w:val="22"/>
          <w:szCs w:val="22"/>
        </w:rPr>
      </w:pPr>
      <w:r>
        <w:rPr>
          <w:color w:val="000000"/>
          <w:sz w:val="22"/>
          <w:szCs w:val="22"/>
        </w:rPr>
        <w:t>- DADOS COMPLEMENTARES PARA ASSINATURA DA ATA DE REGISTRO DE PREÇOS -</w:t>
      </w:r>
    </w:p>
    <w:p>
      <w:pPr>
        <w:pStyle w:val="para33"/>
        <w:spacing w:before="0"/>
        <w:jc w:val="both"/>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64587961"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64587961"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64587961"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64587961"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64587961"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Apresentar na Habilitação.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rPr>
          <w:b w:val="0"/>
          <w:iCs/>
          <w:color w:val="000000"/>
          <w:sz w:val="22"/>
          <w:szCs w:val="22"/>
        </w:rPr>
      </w:pPr>
      <w:r>
        <w:rPr>
          <w:color w:val="000000"/>
          <w:sz w:val="22"/>
          <w:szCs w:val="22"/>
        </w:rPr>
        <w:t>ANEXO VIII</w:t>
      </w:r>
      <w:r>
        <w:rPr>
          <w:b w:val="0"/>
          <w:iCs/>
          <w:color w:val="000000"/>
          <w:sz w:val="22"/>
          <w:szCs w:val="22"/>
        </w:rPr>
      </w:r>
    </w:p>
    <w:p>
      <w:pPr>
        <w:spacing w:before="0"/>
        <w:rPr>
          <w:b/>
          <w:iCs/>
          <w:color w:val="000000"/>
          <w:sz w:val="22"/>
          <w:szCs w:val="22"/>
        </w:rPr>
      </w:pPr>
      <w:r>
        <w:rPr>
          <w:b/>
          <w:iCs/>
          <w:color w:val="000000"/>
          <w:sz w:val="22"/>
          <w:szCs w:val="22"/>
        </w:rPr>
        <w:t>TERMO DE REFERÊNCIA (em  anexo)</w:t>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t>ANEXO IX</w:t>
      </w:r>
    </w:p>
    <w:p>
      <w:pPr>
        <w:spacing w:before="0"/>
        <w:jc w:val="both"/>
        <w:rPr>
          <w:b/>
          <w:iCs/>
          <w:color w:val="000000"/>
          <w:sz w:val="22"/>
          <w:szCs w:val="22"/>
        </w:rPr>
      </w:pPr>
      <w:r>
        <w:rPr>
          <w:b/>
          <w:iCs/>
          <w:color w:val="000000"/>
          <w:sz w:val="22"/>
          <w:szCs w:val="22"/>
        </w:rPr>
        <w:t xml:space="preserve">MINUTA DA ATA </w:t>
      </w:r>
    </w:p>
    <w:p>
      <w:pPr>
        <w:spacing w:before="0"/>
        <w:jc w:val="both"/>
        <w:rPr>
          <w:b/>
          <w:iCs/>
          <w:color w:val="000000"/>
          <w:sz w:val="22"/>
          <w:szCs w:val="22"/>
        </w:rPr>
      </w:pPr>
      <w:r>
        <w:rPr>
          <w:b/>
          <w:iCs/>
          <w:color w:val="000000"/>
          <w:sz w:val="22"/>
          <w:szCs w:val="22"/>
        </w:rPr>
      </w:r>
    </w:p>
    <w:p>
      <w:pPr>
        <w:pStyle w:val="para37"/>
        <w:spacing w:before="0"/>
        <w:jc w:val="both"/>
        <w:widowControl w:val="0"/>
        <w:rPr>
          <w:rFonts w:ascii="Times New Roman" w:hAnsi="Times New Roman" w:eastAsia="Times New Roman"/>
        </w:rPr>
      </w:pPr>
      <w:r>
        <w:rPr>
          <w:rFonts w:ascii="Times New Roman" w:hAnsi="Times New Roman" w:eastAsia="Times New Roman"/>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Obras e Serviços Urbanos, Secretaria Municipal de Agricultura, Gabinete, Secretaria Municipal do Trabalho, Assistência e Desenvolvimento Social, Secretaria Municipal de Meio Ambiente, Procuradoria, Secretaria Municipal de Administração e Planejamento, Secretaria Municipal de Controle Interno e Transparência, Secretaria Municipal de Educação e Cultura,  de São Domingos do Norte, neste ato representado pelo PREFEITO MUNICIPAL, o Sr. Pedro Amarildo Dalmonte, brasileiro, casado, residente na Rua Tereza Sian Lerback n° 135, Bairro Octavio Bonaparte, São Domingos do Norte/ES, considerando o julgamento da licitação na modalidade de PREGÃO PARA REGISTRO DE PREÇOS, sob nº. 27/2019 - SRP, publicada no DIOES do dia XX/XX/2019, bem como, a classificação das propostas publicada no DIOES de XX/XX/2019, e a respectiva homologação do </w:t>
      </w:r>
      <w:r>
        <w:rPr>
          <w:rFonts w:ascii="Times New Roman" w:hAnsi="Times New Roman" w:eastAsia="Times New Roman"/>
          <w:color w:val="000000"/>
        </w:rPr>
        <w:t>Processos n</w:t>
      </w:r>
      <w:r>
        <w:rPr>
          <w:rFonts w:ascii="Times New Roman" w:hAnsi="Times New Roman" w:eastAsia="Times New Roman"/>
          <w:u w:color="auto" w:val="single"/>
          <w:vertAlign w:val="superscript"/>
        </w:rPr>
        <w:t>o</w:t>
      </w:r>
      <w:r>
        <w:rPr>
          <w:rFonts w:ascii="Times New Roman" w:hAnsi="Times New Roman" w:eastAsia="Times New Roman"/>
        </w:rPr>
        <w:t xml:space="preserve"> 2056/2019, 2082/2019, 2089/2019, 2171/2019, 2169/2019, 2191/2019, 2268/2019, 2466/2019, 2494/2019, vem registrar os preços da empresa </w:t>
      </w:r>
      <w:r>
        <w:rPr>
          <w:rFonts w:ascii="Times New Roman" w:hAnsi="Times New Roman" w:eastAsia="Times New Roman"/>
          <w:b/>
        </w:rPr>
        <w:t>xxxxxxxxxxxxxxxxxxxxxxxxxxxxxxx</w:t>
      </w:r>
      <w:r>
        <w:rPr>
          <w:rFonts w:ascii="Times New Roman" w:hAnsi="Times New Roman" w:eastAsia="Times New Roman"/>
        </w:rPr>
        <w:t xml:space="preserve"> nas quantidades estimadas, de acordo com a classificação por elas alcançadas por lote, atendendo as condições previstas no Instrumento Convocatório e as constantes desta Ata de Registro de Preços, e regido pela Lei n</w:t>
      </w:r>
      <w:r>
        <w:rPr>
          <w:rFonts w:ascii="Times New Roman" w:hAnsi="Times New Roman" w:eastAsia="Times New Roman"/>
          <w:u w:color="auto" w:val="single"/>
          <w:vertAlign w:val="superscript"/>
        </w:rPr>
        <w:t>o</w:t>
      </w:r>
      <w:r>
        <w:rPr>
          <w:rFonts w:ascii="Times New Roman" w:hAnsi="Times New Roman" w:eastAsia="Times New Roman"/>
        </w:rPr>
        <w:t xml:space="preserve"> 10.520, de 17 de julho de 2002, LC 123/2006, Decreto Federal 3555/00, </w:t>
      </w:r>
      <w:r>
        <w:rPr>
          <w:rFonts w:ascii="Times New Roman" w:hAnsi="Times New Roman" w:eastAsia="Times New Roman"/>
          <w:color w:val="000000"/>
        </w:rPr>
        <w:t xml:space="preserve">Decreto Federal </w:t>
      </w:r>
      <w:r>
        <w:rPr>
          <w:rFonts w:ascii="Times New Roman" w:hAnsi="Times New Roman" w:eastAsia="Times New Roman"/>
        </w:rPr>
        <w:t>9.488/2018 e Decreto Municipal 1.663 de 11/06/2019 e subsidiariamente, pela Lei Federal n</w:t>
      </w:r>
      <w:r>
        <w:rPr>
          <w:rFonts w:ascii="Times New Roman" w:hAnsi="Times New Roman" w:eastAsia="Times New Roman"/>
          <w:u w:color="auto" w:val="single"/>
          <w:vertAlign w:val="superscript"/>
        </w:rPr>
        <w:t>o</w:t>
      </w:r>
      <w:r>
        <w:rPr>
          <w:rFonts w:ascii="Times New Roman" w:hAnsi="Times New Roman" w:eastAsia="Times New Roman"/>
        </w:rPr>
        <w:t xml:space="preserve"> 8.666/93, e em conformidade com as disposições a seguir.</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spacing w:before="0"/>
        <w:jc w:val="both"/>
        <w:rPr>
          <w:b/>
          <w:sz w:val="22"/>
          <w:szCs w:val="22"/>
        </w:rPr>
      </w:pPr>
      <w:r>
        <w:rPr>
          <w:b/>
          <w:sz w:val="22"/>
          <w:szCs w:val="22"/>
        </w:rPr>
        <w:t>CLÁUSULA PRIMEIRA - DO OBJETO</w:t>
      </w:r>
    </w:p>
    <w:p>
      <w:pPr>
        <w:spacing w:before="0"/>
        <w:jc w:val="both"/>
        <w:rPr>
          <w:color w:val="000000"/>
          <w:sz w:val="22"/>
          <w:szCs w:val="22"/>
        </w:rPr>
      </w:pPr>
      <w:r>
        <w:rPr>
          <w:color w:val="000000"/>
          <w:sz w:val="22"/>
          <w:szCs w:val="22"/>
        </w:rPr>
        <w:t>2.1. Aquisição de Materiais de Expediente:(papelaria, cartucho, toner e outros )  para atender as necessidades das diversas secretarias deste município.</w:t>
      </w:r>
    </w:p>
    <w:p>
      <w:pPr>
        <w:spacing w:before="0"/>
        <w:jc w:val="both"/>
        <w:rPr>
          <w:sz w:val="22"/>
          <w:szCs w:val="22"/>
        </w:rPr>
      </w:pPr>
      <w:r>
        <w:rPr>
          <w:sz w:val="22"/>
          <w:szCs w:val="22"/>
        </w:rPr>
      </w:r>
    </w:p>
    <w:p>
      <w:pPr>
        <w:spacing w:before="0"/>
        <w:jc w:val="both"/>
        <w:rPr>
          <w:b/>
          <w:sz w:val="22"/>
          <w:szCs w:val="22"/>
        </w:rPr>
      </w:pPr>
      <w:r>
        <w:rPr>
          <w:b/>
          <w:sz w:val="22"/>
          <w:szCs w:val="22"/>
        </w:rPr>
        <w:t>CLÁUSULA SEGUNDA - DO PREÇO</w:t>
      </w:r>
    </w:p>
    <w:p>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 Edital, e nele estão inclusos todas as espécies de tributos, diretos e indiretos, encargos sociais, seguros, fretes e quaisquer despesas inerentes à prestação de serviços.</w:t>
      </w:r>
    </w:p>
    <w:p>
      <w:pPr>
        <w:spacing w:before="0"/>
        <w:jc w:val="both"/>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rPr>
          <w:sz w:val="22"/>
          <w:szCs w:val="22"/>
        </w:rPr>
      </w:pPr>
      <w:r>
        <w:rPr>
          <w:sz w:val="22"/>
          <w:szCs w:val="22"/>
        </w:rPr>
      </w:r>
    </w:p>
    <w:p>
      <w:pPr>
        <w:spacing w:before="0"/>
        <w:jc w:val="both"/>
        <w:rPr>
          <w:b/>
          <w:sz w:val="22"/>
          <w:szCs w:val="22"/>
        </w:rPr>
      </w:pPr>
      <w:r>
        <w:rPr>
          <w:b/>
          <w:sz w:val="22"/>
          <w:szCs w:val="22"/>
        </w:rPr>
        <w:t>CLÁUSULA TERCEIRA - DA ALTERAÇÃO DO PREÇO PRATICADO NO MERCADO E DO REEQUILÍBRIO DA EQUAÇÃO ECONÔMICO-FINANCEIRA</w:t>
      </w:r>
    </w:p>
    <w:p>
      <w:pPr>
        <w:spacing w:before="0"/>
        <w:jc w:val="both"/>
        <w:rPr>
          <w:sz w:val="22"/>
          <w:szCs w:val="22"/>
        </w:rPr>
      </w:pPr>
      <w:r>
        <w:rPr>
          <w:sz w:val="22"/>
          <w:szCs w:val="22"/>
        </w:rPr>
        <w:t>3.1. Quando, por motivo superveniente, o preço registrado tornar-se superior ao preço praticado pelo mercado, o órgão gerenciador deverá:</w:t>
      </w:r>
    </w:p>
    <w:p>
      <w:pPr>
        <w:spacing w:before="0"/>
        <w:jc w:val="both"/>
        <w:rPr>
          <w:sz w:val="22"/>
          <w:szCs w:val="22"/>
        </w:rPr>
      </w:pPr>
      <w:r>
        <w:rPr>
          <w:sz w:val="22"/>
          <w:szCs w:val="22"/>
        </w:rPr>
        <w:t>a) Convocar o fornecedor visando a negociação para redução de preços e sua adequação ao praticado pelo mercado;</w:t>
      </w:r>
    </w:p>
    <w:p>
      <w:pPr>
        <w:spacing w:before="0"/>
        <w:jc w:val="both"/>
        <w:rPr>
          <w:sz w:val="22"/>
          <w:szCs w:val="22"/>
        </w:rPr>
      </w:pPr>
      <w:r>
        <w:rPr>
          <w:sz w:val="22"/>
          <w:szCs w:val="22"/>
        </w:rPr>
        <w:t>b) Frustrada a negociação, liberar o fornecedor do compromisso assumido;</w:t>
      </w:r>
    </w:p>
    <w:p>
      <w:pPr>
        <w:spacing w:before="0"/>
        <w:jc w:val="both"/>
        <w:rPr>
          <w:sz w:val="22"/>
          <w:szCs w:val="22"/>
        </w:rPr>
      </w:pPr>
      <w:r>
        <w:rPr>
          <w:sz w:val="22"/>
          <w:szCs w:val="22"/>
        </w:rPr>
        <w:t>c) Convocar os demais fornecedores para conceder igual oportunidade de negociação.</w:t>
      </w:r>
    </w:p>
    <w:p>
      <w:pPr>
        <w:spacing w:before="0"/>
        <w:jc w:val="both"/>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rPr>
          <w:sz w:val="22"/>
          <w:szCs w:val="22"/>
        </w:rPr>
      </w:pPr>
      <w:r>
        <w:rPr>
          <w:sz w:val="22"/>
          <w:szCs w:val="22"/>
        </w:rPr>
        <w:t>b) Convocar os demais fornecedores para conceder igual oportunidade de negociação.</w:t>
      </w:r>
    </w:p>
    <w:p>
      <w:pPr>
        <w:spacing w:before="0"/>
        <w:jc w:val="both"/>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rPr>
          <w:sz w:val="22"/>
          <w:szCs w:val="22"/>
        </w:rPr>
      </w:pPr>
      <w:r>
        <w:rPr>
          <w:sz w:val="22"/>
          <w:szCs w:val="22"/>
        </w:rPr>
        <w:t xml:space="preserve">3.5.3. Não será concedida a revisão quando: </w:t>
      </w:r>
    </w:p>
    <w:p>
      <w:pPr>
        <w:spacing w:before="0"/>
        <w:jc w:val="both"/>
        <w:rPr>
          <w:sz w:val="22"/>
          <w:szCs w:val="22"/>
        </w:rPr>
      </w:pPr>
      <w:r>
        <w:rPr>
          <w:sz w:val="22"/>
          <w:szCs w:val="22"/>
        </w:rPr>
        <w:t xml:space="preserve">a) Ausente à elevação de encargos alegada pela parte interessada; </w:t>
      </w:r>
    </w:p>
    <w:p>
      <w:pPr>
        <w:spacing w:before="0"/>
        <w:jc w:val="both"/>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rPr>
          <w:sz w:val="22"/>
          <w:szCs w:val="22"/>
        </w:rPr>
      </w:pPr>
      <w:r>
        <w:rPr>
          <w:sz w:val="22"/>
          <w:szCs w:val="22"/>
        </w:rPr>
        <w:t>c) Ausente o nexo de causalidade entre o evento ocorrido e a majoração dos encargos atribuídos à parte interessada;</w:t>
      </w:r>
    </w:p>
    <w:p>
      <w:pPr>
        <w:spacing w:before="0"/>
        <w:jc w:val="both"/>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rPr>
          <w:sz w:val="22"/>
          <w:szCs w:val="22"/>
        </w:rPr>
      </w:pPr>
      <w:r>
        <w:rPr>
          <w:sz w:val="22"/>
          <w:szCs w:val="22"/>
        </w:rPr>
        <w:t>3.5.4. Em todo o caso, a revisão será efetuada por meio de aditamento, precedida de análise pela Secretaria Municipal de Controle Interno e Transparência e Procuradoria Geral do Município, e não poderá exceder o preço praticado no mercado.</w:t>
      </w:r>
    </w:p>
    <w:p>
      <w:pPr>
        <w:spacing w:before="0"/>
        <w:jc w:val="both"/>
        <w:rPr>
          <w:sz w:val="22"/>
          <w:szCs w:val="22"/>
        </w:rPr>
      </w:pPr>
      <w:r>
        <w:rPr>
          <w:sz w:val="22"/>
          <w:szCs w:val="22"/>
        </w:rPr>
      </w:r>
    </w:p>
    <w:p>
      <w:pPr>
        <w:spacing w:before="0"/>
        <w:jc w:val="both"/>
        <w:rPr>
          <w:b/>
          <w:sz w:val="22"/>
          <w:szCs w:val="22"/>
        </w:rPr>
      </w:pPr>
      <w:r>
        <w:rPr>
          <w:b/>
          <w:sz w:val="22"/>
          <w:szCs w:val="22"/>
        </w:rPr>
        <w:t>CLÁUSULA QUARTA - DO CANCELAMENTO DO REGISTRO DE PREÇOS</w:t>
      </w:r>
    </w:p>
    <w:p>
      <w:pPr>
        <w:spacing w:before="0"/>
        <w:jc w:val="both"/>
        <w:rPr>
          <w:sz w:val="22"/>
          <w:szCs w:val="22"/>
        </w:rPr>
      </w:pPr>
      <w:r>
        <w:rPr>
          <w:sz w:val="22"/>
          <w:szCs w:val="22"/>
        </w:rPr>
        <w:t>4.1. O preço registrado poderá ser cancelado nas seguintes hipóteses:</w:t>
      </w:r>
    </w:p>
    <w:p>
      <w:pPr>
        <w:spacing w:before="0"/>
        <w:jc w:val="both"/>
        <w:rPr>
          <w:sz w:val="22"/>
          <w:szCs w:val="22"/>
        </w:rPr>
      </w:pPr>
      <w:r>
        <w:rPr>
          <w:sz w:val="22"/>
          <w:szCs w:val="22"/>
        </w:rPr>
        <w:t>4.1.1. Pela Administração, quando houver comprovado interesse público, ou quando o fornecedor:</w:t>
      </w:r>
    </w:p>
    <w:p>
      <w:pPr>
        <w:spacing w:before="0"/>
        <w:jc w:val="both"/>
        <w:rPr>
          <w:sz w:val="22"/>
          <w:szCs w:val="22"/>
        </w:rPr>
      </w:pPr>
      <w:r>
        <w:rPr>
          <w:sz w:val="22"/>
          <w:szCs w:val="22"/>
        </w:rPr>
        <w:t>a) Não cumprir as exigências da Ata de Registro de Preços;</w:t>
      </w:r>
    </w:p>
    <w:p>
      <w:pPr>
        <w:spacing w:before="0"/>
        <w:jc w:val="both"/>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rPr>
          <w:sz w:val="22"/>
          <w:szCs w:val="22"/>
        </w:rPr>
      </w:pPr>
      <w:r>
        <w:rPr>
          <w:sz w:val="22"/>
          <w:szCs w:val="22"/>
        </w:rPr>
        <w:t>c) Não aceitar reduzir o preço registrado, na hipótese de se tornar este superior aos praticados no mercado;</w:t>
      </w:r>
    </w:p>
    <w:p>
      <w:pPr>
        <w:spacing w:before="0"/>
        <w:jc w:val="both"/>
        <w:rPr>
          <w:sz w:val="22"/>
          <w:szCs w:val="22"/>
        </w:rPr>
      </w:pPr>
      <w:r>
        <w:rPr>
          <w:sz w:val="22"/>
          <w:szCs w:val="22"/>
        </w:rPr>
        <w:t>d) Incorrer em inexecução total ou parcial do contrato decorrente do registro de preços;</w:t>
      </w:r>
    </w:p>
    <w:p>
      <w:pPr>
        <w:spacing w:before="0"/>
        <w:jc w:val="both"/>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rPr>
          <w:sz w:val="22"/>
          <w:szCs w:val="22"/>
        </w:rPr>
      </w:pPr>
      <w:r>
        <w:rPr>
          <w:sz w:val="22"/>
          <w:szCs w:val="22"/>
        </w:rPr>
        <w:t>4.2.1. O cancelamento do registro não prejudica a possibilidade de aplicação de sanção administrativa, quando motivada pela ocorrência de infração cometida pelo particular, observada os critérios estabelecidos na cláusula décima primeira deste instrumento.</w:t>
      </w:r>
    </w:p>
    <w:p>
      <w:pPr>
        <w:spacing w:before="0"/>
        <w:jc w:val="both"/>
        <w:rPr>
          <w:sz w:val="22"/>
          <w:szCs w:val="22"/>
        </w:rPr>
      </w:pPr>
      <w:r>
        <w:rPr>
          <w:sz w:val="22"/>
          <w:szCs w:val="22"/>
        </w:rPr>
        <w:t>4.3. Da decisão da autoridade competente se dará conhecimento aos fornecedores, mediante o envio de correspondência, com aviso de recebimento.</w:t>
      </w:r>
    </w:p>
    <w:p>
      <w:pPr>
        <w:spacing w:before="0"/>
        <w:jc w:val="both"/>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rPr>
          <w:sz w:val="22"/>
          <w:szCs w:val="22"/>
        </w:rPr>
      </w:pPr>
      <w:r>
        <w:rPr>
          <w:sz w:val="22"/>
          <w:szCs w:val="22"/>
        </w:rPr>
        <w:t>4.6. Aplicar-se-á no que couber o art. 65 da Lei 8.666/93.</w:t>
      </w:r>
    </w:p>
    <w:p>
      <w:pPr>
        <w:spacing w:before="0"/>
        <w:jc w:val="both"/>
        <w:rPr>
          <w:sz w:val="22"/>
          <w:szCs w:val="22"/>
        </w:rPr>
      </w:pPr>
      <w:r>
        <w:rPr>
          <w:sz w:val="22"/>
          <w:szCs w:val="22"/>
        </w:rPr>
      </w:r>
    </w:p>
    <w:p>
      <w:pPr>
        <w:spacing w:before="0"/>
        <w:jc w:val="both"/>
        <w:rPr>
          <w:b/>
          <w:sz w:val="22"/>
          <w:szCs w:val="22"/>
        </w:rPr>
      </w:pPr>
      <w:r>
        <w:rPr>
          <w:b/>
          <w:sz w:val="22"/>
          <w:szCs w:val="22"/>
        </w:rPr>
        <w:t>CLÁUSULA QUINTA - DAS CONDIÇÕES DE PAGAMENTO</w:t>
      </w:r>
    </w:p>
    <w:p>
      <w:pPr>
        <w:spacing w:before="0"/>
        <w:jc w:val="both"/>
        <w:rPr>
          <w:sz w:val="22"/>
          <w:szCs w:val="22"/>
        </w:rPr>
      </w:pPr>
      <w:r>
        <w:rPr>
          <w:sz w:val="22"/>
          <w:szCs w:val="22"/>
        </w:rPr>
        <w:t xml:space="preserve">5.1. A Contratante pagará à Contratada pela prestação de serviço de arbitragem adquiridos, até trinta dias úteis após a apresentação regular da Nota Fiscal/Fatura  e o atestado do fiscal correspondente, devidamente aceita pelo Contratante, vedada a antecipação. </w:t>
      </w:r>
    </w:p>
    <w:p>
      <w:pPr>
        <w:spacing w:before="0"/>
        <w:jc w:val="both"/>
        <w:rPr>
          <w:sz w:val="22"/>
          <w:szCs w:val="22"/>
        </w:rPr>
      </w:pPr>
      <w:r>
        <w:rPr>
          <w:sz w:val="22"/>
          <w:szCs w:val="22"/>
        </w:rPr>
        <w:t>5.2. O pagamento far-se-á por meio de uma única fatura.</w:t>
      </w:r>
    </w:p>
    <w:p>
      <w:pPr>
        <w:spacing w:before="0"/>
        <w:jc w:val="both"/>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rPr>
          <w:sz w:val="22"/>
          <w:szCs w:val="22"/>
        </w:rPr>
      </w:pPr>
      <w:r>
        <w:rPr>
          <w:sz w:val="22"/>
          <w:szCs w:val="22"/>
        </w:rPr>
        <w:t>5.4. A liquidação das despesas obedecerá rigorosamente o estabelecido na Lei nº 4.320/64 e alterações posteriores.</w:t>
      </w:r>
    </w:p>
    <w:p>
      <w:pPr>
        <w:spacing w:before="0"/>
        <w:jc w:val="both"/>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sz w:val="22"/>
          <w:szCs w:val="22"/>
        </w:rPr>
      </w:pPr>
      <w:r>
        <w:rPr>
          <w:sz w:val="22"/>
          <w:szCs w:val="22"/>
        </w:rPr>
        <w:t>5.6. A eventual inadimplência de um dos órgãos participantes desta Ata não produzirá efeitos quanto aos demais.</w:t>
      </w:r>
    </w:p>
    <w:p>
      <w:pPr>
        <w:spacing w:before="0"/>
        <w:jc w:val="both"/>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sz w:val="22"/>
          <w:szCs w:val="22"/>
        </w:rPr>
      </w:pPr>
      <w:r>
        <w:rPr>
          <w:sz w:val="22"/>
          <w:szCs w:val="22"/>
        </w:rPr>
      </w:r>
    </w:p>
    <w:p>
      <w:pPr>
        <w:spacing w:before="0"/>
        <w:jc w:val="both"/>
        <w:rPr>
          <w:b/>
          <w:sz w:val="22"/>
          <w:szCs w:val="22"/>
        </w:rPr>
      </w:pPr>
      <w:r>
        <w:rPr>
          <w:b/>
          <w:sz w:val="22"/>
          <w:szCs w:val="22"/>
        </w:rPr>
        <w:t>CLÁUSULA SEXTA - DO PRAZO DE VIGÊNCIA DA ATA E DOS CONTRATOS</w:t>
      </w:r>
    </w:p>
    <w:p>
      <w:pPr>
        <w:spacing w:before="0"/>
        <w:jc w:val="both"/>
        <w:rPr>
          <w:sz w:val="22"/>
          <w:szCs w:val="22"/>
        </w:rPr>
      </w:pPr>
      <w:r>
        <w:rPr>
          <w:sz w:val="22"/>
          <w:szCs w:val="22"/>
        </w:rPr>
        <w:t>6.1. O prazo de vigência dessa Ata de Registro de Preços é de 01(um) ano, contado a partir da assinatura da ata dia posterior à data de sua publicação no Diário Oficial, vedada a sua prorrogação.</w:t>
      </w:r>
    </w:p>
    <w:p>
      <w:pPr>
        <w:spacing w:before="0"/>
        <w:jc w:val="both"/>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rPr>
          <w:b/>
          <w:sz w:val="22"/>
          <w:szCs w:val="22"/>
        </w:rPr>
      </w:pPr>
      <w:r>
        <w:rPr>
          <w:b/>
          <w:sz w:val="22"/>
          <w:szCs w:val="22"/>
        </w:rPr>
      </w:r>
    </w:p>
    <w:p>
      <w:pPr>
        <w:spacing w:before="0"/>
        <w:jc w:val="both"/>
        <w:rPr>
          <w:b/>
          <w:sz w:val="22"/>
          <w:szCs w:val="22"/>
        </w:rPr>
      </w:pPr>
      <w:r>
        <w:rPr>
          <w:b/>
          <w:sz w:val="22"/>
          <w:szCs w:val="22"/>
        </w:rPr>
        <w:t>CLÁUSULA SÉTIMA - DA DOTAÇÃO ORÇAMENTÁRIA</w:t>
      </w:r>
    </w:p>
    <w:p>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 as seguintes dotações orçamentárias:</w:t>
      </w:r>
      <w:r>
        <w:rPr>
          <w:color w:val="000000"/>
          <w:sz w:val="22"/>
          <w:szCs w:val="22"/>
        </w:rPr>
      </w:r>
    </w:p>
    <w:p>
      <w:pPr>
        <w:spacing w:before="0"/>
        <w:jc w:val="both"/>
        <w:rPr>
          <w:color w:val="000000"/>
          <w:sz w:val="22"/>
          <w:szCs w:val="22"/>
        </w:rPr>
      </w:pPr>
      <w:r>
        <w:rPr>
          <w:color w:val="000000"/>
          <w:sz w:val="22"/>
          <w:szCs w:val="22"/>
        </w:rPr>
        <w:t>Secretaria Municipal de Administração e Finanças: fichas 545 - 1001, 537 - 1001.</w:t>
      </w:r>
    </w:p>
    <w:p>
      <w:pPr>
        <w:spacing w:before="0"/>
        <w:jc w:val="both"/>
        <w:rPr>
          <w:color w:val="000000"/>
          <w:sz w:val="22"/>
          <w:szCs w:val="22"/>
        </w:rPr>
      </w:pPr>
      <w:r>
        <w:rPr>
          <w:color w:val="000000"/>
          <w:sz w:val="22"/>
          <w:szCs w:val="22"/>
        </w:rPr>
        <w:t>Secretaria Municipal de Educação e Cultura: fichas 93 - 1001, 120 - 1120, 175 - 1120, 187 - 1120, 226 - 1001.</w:t>
      </w:r>
    </w:p>
    <w:p>
      <w:pPr>
        <w:spacing w:before="0"/>
        <w:jc w:val="both"/>
        <w:rPr>
          <w:color w:val="000000"/>
          <w:sz w:val="22"/>
          <w:szCs w:val="22"/>
        </w:rPr>
      </w:pPr>
      <w:r>
        <w:rPr>
          <w:color w:val="000000"/>
          <w:sz w:val="22"/>
          <w:szCs w:val="22"/>
        </w:rPr>
        <w:t>Secretaria Municipal de Obras e Serviços Urbanos: ficha 382 - 1001.</w:t>
      </w:r>
    </w:p>
    <w:p>
      <w:pPr>
        <w:spacing w:before="0"/>
        <w:jc w:val="both"/>
        <w:rPr>
          <w:color w:val="000000"/>
          <w:sz w:val="22"/>
          <w:szCs w:val="22"/>
        </w:rPr>
      </w:pPr>
      <w:r>
        <w:rPr>
          <w:color w:val="000000"/>
          <w:sz w:val="22"/>
          <w:szCs w:val="22"/>
        </w:rPr>
        <w:t>Gabinete do Prefeito: fichas 04 - 1001, 19 - 1001, 33 - 1001, 43 - 1001.</w:t>
      </w:r>
    </w:p>
    <w:p>
      <w:pPr>
        <w:spacing w:before="0"/>
        <w:jc w:val="both"/>
        <w:rPr>
          <w:color w:val="000000"/>
          <w:sz w:val="22"/>
          <w:szCs w:val="22"/>
        </w:rPr>
      </w:pPr>
      <w:r>
        <w:rPr>
          <w:color w:val="000000"/>
          <w:sz w:val="22"/>
          <w:szCs w:val="22"/>
        </w:rPr>
        <w:t>Procuradoria Geral do Município: ficha 61 - 1001.</w:t>
      </w:r>
    </w:p>
    <w:p>
      <w:pPr>
        <w:spacing w:before="0"/>
        <w:jc w:val="both"/>
        <w:rPr>
          <w:color w:val="000000"/>
          <w:sz w:val="22"/>
          <w:szCs w:val="22"/>
        </w:rPr>
      </w:pPr>
      <w:r>
        <w:rPr>
          <w:color w:val="000000"/>
          <w:sz w:val="22"/>
          <w:szCs w:val="22"/>
        </w:rPr>
        <w:t>Secretaria Municipal de Agricultura: ficha 452 - 1001.</w:t>
      </w:r>
    </w:p>
    <w:p>
      <w:pPr>
        <w:spacing w:before="0"/>
        <w:jc w:val="both"/>
        <w:rPr>
          <w:color w:val="000000"/>
          <w:sz w:val="22"/>
          <w:szCs w:val="22"/>
        </w:rPr>
      </w:pPr>
      <w:r>
        <w:rPr>
          <w:color w:val="000000"/>
          <w:sz w:val="22"/>
          <w:szCs w:val="22"/>
        </w:rPr>
        <w:t>Secretaria Municipal de Meio Ambiente: ficha 498 - 1001.</w:t>
      </w:r>
    </w:p>
    <w:p>
      <w:pPr>
        <w:spacing w:before="0"/>
        <w:jc w:val="both"/>
        <w:rPr>
          <w:color w:val="000000"/>
          <w:sz w:val="22"/>
          <w:szCs w:val="22"/>
        </w:rPr>
      </w:pPr>
      <w:r>
        <w:rPr>
          <w:color w:val="000000"/>
          <w:sz w:val="22"/>
          <w:szCs w:val="22"/>
        </w:rPr>
        <w:t>Secretaria Municipal do Trabalho, Assistência e Desenvolvimento Social: fichas 279 - 1001, 305 - 1001, 343 - 1390, 367 - 1390, 373 - 1001, 332 - 1390.</w:t>
      </w:r>
    </w:p>
    <w:p>
      <w:pPr>
        <w:spacing w:before="0"/>
        <w:jc w:val="both"/>
        <w:rPr>
          <w:color w:val="000000"/>
          <w:sz w:val="22"/>
          <w:szCs w:val="22"/>
        </w:rPr>
      </w:pPr>
      <w:r>
        <w:rPr>
          <w:color w:val="000000"/>
          <w:sz w:val="22"/>
          <w:szCs w:val="22"/>
        </w:rPr>
        <w:t>Secretaria Municipal de Controle Interno e Transparência: ficha 74 - 1001.</w:t>
      </w:r>
    </w:p>
    <w:p>
      <w:pPr>
        <w:spacing w:before="0"/>
        <w:jc w:val="both"/>
        <w:rPr>
          <w:color w:val="000000"/>
          <w:sz w:val="22"/>
          <w:szCs w:val="22"/>
        </w:rPr>
      </w:pPr>
      <w:r>
        <w:rPr>
          <w:color w:val="000000"/>
          <w:sz w:val="22"/>
          <w:szCs w:val="22"/>
        </w:rPr>
        <w:t>Secretaria Municipal de Fazenda: fichas 577 - 1001, 597 - 1001.</w:t>
      </w:r>
    </w:p>
    <w:p>
      <w:pPr>
        <w:spacing w:before="0"/>
        <w:jc w:val="both"/>
        <w:rPr>
          <w:sz w:val="22"/>
          <w:szCs w:val="22"/>
        </w:rPr>
      </w:pPr>
      <w:r>
        <w:rPr>
          <w:sz w:val="22"/>
          <w:szCs w:val="22"/>
        </w:rPr>
      </w:r>
    </w:p>
    <w:p>
      <w:pPr>
        <w:spacing w:before="0"/>
        <w:jc w:val="both"/>
        <w:rPr>
          <w:b/>
          <w:sz w:val="22"/>
          <w:szCs w:val="22"/>
        </w:rPr>
      </w:pPr>
      <w:r>
        <w:rPr>
          <w:b/>
          <w:sz w:val="22"/>
          <w:szCs w:val="22"/>
        </w:rPr>
        <w:t>CLÁUSULA OITAVA - DA CONVOCAÇÃO PARA RECEBER A ORDEM DE FORNECIMENTO</w:t>
      </w:r>
    </w:p>
    <w:p>
      <w:pPr>
        <w:spacing w:before="0"/>
        <w:jc w:val="both"/>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pPr>
        <w:spacing w:before="0"/>
        <w:jc w:val="both"/>
        <w:rPr>
          <w:sz w:val="22"/>
          <w:szCs w:val="22"/>
        </w:rPr>
      </w:pPr>
      <w:r>
        <w:rPr>
          <w:sz w:val="22"/>
          <w:szCs w:val="22"/>
        </w:rPr>
      </w:r>
    </w:p>
    <w:p>
      <w:pPr>
        <w:spacing w:before="0"/>
        <w:jc w:val="both"/>
        <w:rPr>
          <w:b/>
          <w:sz w:val="22"/>
          <w:szCs w:val="22"/>
        </w:rPr>
      </w:pPr>
      <w:r>
        <w:rPr>
          <w:b/>
          <w:sz w:val="22"/>
          <w:szCs w:val="22"/>
        </w:rPr>
        <w:t>CLÁUSULA NONA - DA ENTREGA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rPr>
        <w:t>9.1. O licitante vencedor deverá promover a entrega de acordo como tange o Termo de Referência e Anexo I do presente Edital;</w:t>
      </w:r>
      <w:r>
        <w:rPr>
          <w:rFonts w:ascii="Times New Roman" w:hAnsi="Times New Roman" w:eastAsia="Times New Roman"/>
          <w:color w:val="000000"/>
        </w:rPr>
      </w:r>
    </w:p>
    <w:p>
      <w:pPr>
        <w:pStyle w:val="para37"/>
        <w:spacing w:before="0"/>
        <w:jc w:val="both"/>
        <w:widowControl w:val="0"/>
        <w:rPr>
          <w:rFonts w:ascii="Times New Roman" w:hAnsi="Times New Roman" w:eastAsia="Times New Roman"/>
        </w:rPr>
      </w:pPr>
      <w:r>
        <w:rPr>
          <w:rFonts w:ascii="Times New Roman" w:hAnsi="Times New Roman" w:eastAsia="Times New Roman"/>
        </w:rPr>
        <w:t>9.2 Na contagem dos prazos previstos neste documento excluir-se-á o dia de início e incluir-se-á o dia do vencimento. Só se iniciam e vencem os prazos em dias úteis e de expediente na PMSDN/ES.</w:t>
      </w:r>
    </w:p>
    <w:p>
      <w:pPr>
        <w:pStyle w:val="para37"/>
        <w:spacing w:before="0"/>
        <w:jc w:val="both"/>
        <w:widowControl w:val="0"/>
        <w:rPr>
          <w:rFonts w:ascii="Times New Roman" w:hAnsi="Times New Roman" w:eastAsia="Times New Roman"/>
        </w:rPr>
      </w:pPr>
      <w:r>
        <w:rPr>
          <w:rFonts w:ascii="Times New Roman" w:hAnsi="Times New Roman" w:eastAsia="Times New Roman"/>
        </w:rPr>
        <w:t>9.3 O pedido de prorrogação do prazo de entrega, concedido em caráter excepcional e sem efeito suspensivo, deverá ser encaminhado por escrito, com antecedência mínima de 01 (um) dia do seu vencimento, anexando-se documento comprobatório do alegado pela Contratada, em conformidade com o art. 57, § 1 da Lei 8.666/93.</w:t>
      </w:r>
    </w:p>
    <w:p>
      <w:pPr>
        <w:spacing w:before="0"/>
        <w:jc w:val="both"/>
        <w:rPr>
          <w:sz w:val="22"/>
          <w:szCs w:val="22"/>
        </w:rPr>
      </w:pPr>
      <w:r>
        <w:rPr>
          <w:sz w:val="22"/>
          <w:szCs w:val="22"/>
        </w:rPr>
        <w:t>9.4.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pPr>
        <w:spacing w:before="0"/>
        <w:jc w:val="both"/>
        <w:rPr>
          <w:sz w:val="22"/>
          <w:szCs w:val="22"/>
        </w:rPr>
      </w:pPr>
      <w:r>
        <w:rPr>
          <w:sz w:val="22"/>
          <w:szCs w:val="22"/>
        </w:rPr>
        <w:t>9.5. Constatadas irregularidades no objeto contratada, a contratante poderá:</w:t>
      </w:r>
    </w:p>
    <w:p>
      <w:pPr>
        <w:spacing w:before="0"/>
        <w:jc w:val="both"/>
        <w:rPr>
          <w:sz w:val="22"/>
          <w:szCs w:val="22"/>
        </w:rPr>
      </w:pPr>
      <w:r>
        <w:rPr>
          <w:sz w:val="22"/>
          <w:szCs w:val="22"/>
        </w:rPr>
        <w:t>a) Se disser respeito à especificação, rejeitá-lo, determinando sua substituição ou rescindindo a contratação, sem prejuízo das penalidades cabíveis;</w:t>
      </w:r>
    </w:p>
    <w:p>
      <w:pPr>
        <w:spacing w:before="0"/>
        <w:jc w:val="both"/>
        <w:rPr>
          <w:sz w:val="22"/>
          <w:szCs w:val="22"/>
        </w:rPr>
      </w:pPr>
      <w:r>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pPr>
        <w:spacing w:before="0"/>
        <w:jc w:val="both"/>
        <w:rPr>
          <w:sz w:val="22"/>
          <w:szCs w:val="22"/>
        </w:rPr>
      </w:pPr>
      <w:r>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pPr>
        <w:spacing w:before="0"/>
        <w:jc w:val="both"/>
        <w:rPr>
          <w:sz w:val="22"/>
          <w:szCs w:val="22"/>
        </w:rPr>
      </w:pPr>
      <w:r>
        <w:rPr>
          <w:sz w:val="22"/>
          <w:szCs w:val="22"/>
        </w:rPr>
      </w:r>
    </w:p>
    <w:p>
      <w:pPr>
        <w:spacing w:before="0"/>
        <w:jc w:val="both"/>
        <w:rPr>
          <w:b/>
          <w:sz w:val="22"/>
          <w:szCs w:val="22"/>
        </w:rPr>
      </w:pPr>
      <w:r>
        <w:rPr>
          <w:b/>
          <w:sz w:val="22"/>
          <w:szCs w:val="22"/>
        </w:rPr>
        <w:t>CLÁUSULA DÉCIMA - DA RESPONSABILIDADE DAS PARTES</w:t>
      </w:r>
    </w:p>
    <w:p>
      <w:pPr>
        <w:spacing w:before="0"/>
        <w:jc w:val="both"/>
        <w:rPr>
          <w:sz w:val="22"/>
          <w:szCs w:val="22"/>
        </w:rPr>
      </w:pPr>
      <w:r>
        <w:rPr>
          <w:sz w:val="22"/>
          <w:szCs w:val="22"/>
        </w:rPr>
        <w:t>10.1. Compete à Contratada:</w:t>
      </w:r>
    </w:p>
    <w:p>
      <w:pPr>
        <w:spacing w:before="0"/>
        <w:jc w:val="both"/>
        <w:rPr>
          <w:sz w:val="22"/>
          <w:szCs w:val="22"/>
        </w:rPr>
      </w:pPr>
      <w:r>
        <w:rPr>
          <w:sz w:val="22"/>
          <w:szCs w:val="22"/>
        </w:rPr>
        <w:t>a) Entregar os materiais de acordo com as condições e prazos propostos respeitando-se o período de validade;</w:t>
      </w:r>
    </w:p>
    <w:p>
      <w:pPr>
        <w:spacing w:before="0"/>
        <w:jc w:val="both"/>
        <w:rPr>
          <w:sz w:val="22"/>
          <w:szCs w:val="22"/>
        </w:rPr>
      </w:pPr>
      <w:r>
        <w:rPr>
          <w:sz w:val="22"/>
          <w:szCs w:val="22"/>
        </w:rPr>
        <w:t>b) Providenciar a imediata correção das deficiências apontadas pelo setor competente do Contratante;</w:t>
      </w:r>
    </w:p>
    <w:p>
      <w:pPr>
        <w:spacing w:before="0"/>
        <w:jc w:val="both"/>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rPr>
          <w:sz w:val="22"/>
          <w:szCs w:val="22"/>
        </w:rPr>
      </w:pPr>
      <w:r>
        <w:rPr>
          <w:sz w:val="22"/>
          <w:szCs w:val="22"/>
        </w:rPr>
        <w:t>10.2. Compete à Contratante:</w:t>
      </w:r>
    </w:p>
    <w:p>
      <w:pPr>
        <w:spacing w:before="0"/>
        <w:jc w:val="both"/>
        <w:rPr>
          <w:sz w:val="22"/>
          <w:szCs w:val="22"/>
        </w:rPr>
      </w:pPr>
      <w:r>
        <w:rPr>
          <w:sz w:val="22"/>
          <w:szCs w:val="22"/>
        </w:rPr>
        <w:t>a) Efetuar o pagamento do preço previsto na cláusula segunda, nos termos deste instrumento;</w:t>
      </w:r>
    </w:p>
    <w:p>
      <w:pPr>
        <w:spacing w:before="0"/>
        <w:jc w:val="both"/>
        <w:rPr>
          <w:sz w:val="22"/>
          <w:szCs w:val="22"/>
        </w:rPr>
      </w:pPr>
      <w:r>
        <w:rPr>
          <w:sz w:val="22"/>
          <w:szCs w:val="22"/>
        </w:rPr>
        <w:t>b) Definir o local para entrega dos materiais adquiridos;</w:t>
      </w:r>
    </w:p>
    <w:p>
      <w:pPr>
        <w:spacing w:before="0"/>
        <w:jc w:val="both"/>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rPr>
          <w:sz w:val="22"/>
          <w:szCs w:val="22"/>
        </w:rPr>
      </w:pPr>
      <w:r>
        <w:rPr>
          <w:sz w:val="22"/>
          <w:szCs w:val="22"/>
        </w:rPr>
      </w:r>
    </w:p>
    <w:p>
      <w:pPr>
        <w:spacing w:before="0"/>
        <w:jc w:val="both"/>
        <w:rPr>
          <w:b/>
          <w:sz w:val="22"/>
          <w:szCs w:val="22"/>
        </w:rPr>
      </w:pPr>
      <w:r>
        <w:rPr>
          <w:b/>
          <w:sz w:val="22"/>
          <w:szCs w:val="22"/>
        </w:rPr>
        <w:t>CLÁUSULA DÉCIMA PRIMEIRA - DAS SANÇÕES ADMINISTRATIVAS</w:t>
      </w:r>
    </w:p>
    <w:p>
      <w:pPr>
        <w:spacing w:before="0"/>
        <w:jc w:val="both"/>
        <w:rPr>
          <w:sz w:val="22"/>
          <w:szCs w:val="22"/>
        </w:rPr>
      </w:pPr>
      <w:r>
        <w:rPr>
          <w:sz w:val="22"/>
          <w:szCs w:val="22"/>
        </w:rPr>
        <w:t>11.1. Em caso de atraso na execução/entrega do objeto contratado, multa de 0,3% (três centésimos por cento) por dia de atraso, até o limite de 20% (vinte por cento) sobre o valor total do contrato.</w:t>
      </w:r>
    </w:p>
    <w:p>
      <w:pPr>
        <w:spacing w:before="0"/>
        <w:jc w:val="both"/>
        <w:rPr>
          <w:sz w:val="22"/>
          <w:szCs w:val="22"/>
        </w:rPr>
      </w:pPr>
      <w:r>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rPr>
          <w:sz w:val="22"/>
          <w:szCs w:val="22"/>
        </w:rPr>
      </w:pPr>
      <w:r>
        <w:rPr>
          <w:sz w:val="22"/>
          <w:szCs w:val="22"/>
        </w:rPr>
        <w:t>11.3. A licitante/contratada se sujeita ainda as seguintes penalidades:</w:t>
      </w:r>
    </w:p>
    <w:p>
      <w:pPr>
        <w:spacing w:before="0"/>
        <w:jc w:val="both"/>
        <w:rPr>
          <w:sz w:val="22"/>
          <w:szCs w:val="22"/>
        </w:rPr>
      </w:pPr>
      <w:r>
        <w:rPr>
          <w:sz w:val="22"/>
          <w:szCs w:val="22"/>
        </w:rPr>
        <w:t>a) Advertência;</w:t>
      </w:r>
    </w:p>
    <w:p>
      <w:pPr>
        <w:spacing w:before="0"/>
        <w:jc w:val="both"/>
        <w:rPr>
          <w:sz w:val="22"/>
          <w:szCs w:val="22"/>
        </w:rPr>
      </w:pPr>
      <w:r>
        <w:rPr>
          <w:sz w:val="22"/>
          <w:szCs w:val="22"/>
        </w:rPr>
        <w:t>b) Suspensão temporária de participar de licitações e impedimento de contratar com a administração municipal, por prazo de até 2 (dois) anos, e,</w:t>
      </w:r>
    </w:p>
    <w:p>
      <w:pPr>
        <w:spacing w:before="0"/>
        <w:jc w:val="both"/>
        <w:rPr>
          <w:sz w:val="22"/>
          <w:szCs w:val="22"/>
        </w:rPr>
      </w:pPr>
      <w:r>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spacing w:before="0"/>
        <w:jc w:val="both"/>
        <w:rPr>
          <w:sz w:val="22"/>
          <w:szCs w:val="22"/>
        </w:rPr>
      </w:pPr>
      <w:r>
        <w:rPr>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spacing w:before="0"/>
        <w:jc w:val="both"/>
        <w:rPr>
          <w:sz w:val="22"/>
          <w:szCs w:val="22"/>
        </w:rPr>
      </w:pPr>
      <w:r>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pPr>
        <w:spacing w:before="0"/>
        <w:jc w:val="both"/>
        <w:rPr>
          <w:sz w:val="22"/>
          <w:szCs w:val="22"/>
        </w:rPr>
      </w:pPr>
      <w:r>
        <w:rPr>
          <w:sz w:val="22"/>
          <w:szCs w:val="22"/>
        </w:rPr>
        <w:t>11.6 A falsidade de declaração prestada, em qualquer das declarações exigidas neste Edital, caracterizará o crime de que trata o art. 299 do código penal, além da sanção prevista no item 21.3.3 deste Edital.</w:t>
      </w:r>
    </w:p>
    <w:p>
      <w:pPr>
        <w:spacing w:before="0"/>
        <w:jc w:val="both"/>
        <w:rPr>
          <w:sz w:val="22"/>
          <w:szCs w:val="22"/>
        </w:rPr>
      </w:pPr>
      <w:r>
        <w:rPr>
          <w:sz w:val="22"/>
          <w:szCs w:val="22"/>
        </w:rPr>
        <w:t>11.7. A aplicação da multa de mora não impede que a Administração rescinda unilateralmente o contrato e aplique as outras sanções previstas no item 11.3 desta Ata e na Lei Federal nº. 8.666/93;</w:t>
      </w:r>
    </w:p>
    <w:p>
      <w:pPr>
        <w:spacing w:before="0"/>
        <w:jc w:val="both"/>
        <w:rPr>
          <w:sz w:val="22"/>
          <w:szCs w:val="22"/>
        </w:rPr>
      </w:pPr>
      <w:r>
        <w:rPr>
          <w:sz w:val="22"/>
          <w:szCs w:val="22"/>
        </w:rPr>
        <w:t>11.8 As sanções previstas nas alíneas “a”, “b” e “c” do item 11.3, não são cumulativas entre si, mas poderão ser aplicadas juntamente com a multa compensatória por perdas e danos.</w:t>
      </w:r>
    </w:p>
    <w:p>
      <w:pPr>
        <w:spacing w:before="0"/>
        <w:jc w:val="both"/>
        <w:rPr>
          <w:sz w:val="22"/>
          <w:szCs w:val="22"/>
        </w:rPr>
      </w:pPr>
      <w:r/>
      <w:bookmarkStart w:id="0" w:name="art87_3"/>
      <w:bookmarkEnd w:id="0"/>
      <w:r/>
      <w:r>
        <w:rPr>
          <w:sz w:val="22"/>
          <w:szCs w:val="22"/>
        </w:rPr>
        <w:t>11.9. As sanções administrativas somente serão aplicadas mediante regular processo administrativo, assegurada a ampla defesa e o contraditório, observando-se as seguintes regras:</w:t>
      </w:r>
      <w:r>
        <w:rPr>
          <w:sz w:val="22"/>
          <w:szCs w:val="22"/>
        </w:rPr>
      </w:r>
    </w:p>
    <w:p>
      <w:pPr>
        <w:spacing w:before="0"/>
        <w:jc w:val="both"/>
        <w:rPr>
          <w:sz w:val="22"/>
          <w:szCs w:val="22"/>
        </w:rPr>
      </w:pPr>
      <w:r>
        <w:rPr>
          <w:sz w:val="22"/>
          <w:szCs w:val="22"/>
        </w:rPr>
        <w:t>11.9.1. Antes da aplicação de qualquer sanção administrativa, deverá notificar o licitante contratado, facultando-lhe a apresentação de defesa prévia;</w:t>
      </w:r>
    </w:p>
    <w:p>
      <w:pPr>
        <w:spacing w:before="0"/>
        <w:jc w:val="both"/>
        <w:rPr>
          <w:sz w:val="22"/>
          <w:szCs w:val="22"/>
        </w:rPr>
      </w:pPr>
      <w:r>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spacing w:before="0"/>
        <w:jc w:val="both"/>
        <w:rPr>
          <w:sz w:val="22"/>
          <w:szCs w:val="22"/>
        </w:rPr>
      </w:pPr>
      <w:r>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11.12. O recurso administrativo a que se refere a alínea anterior será submetido à análise da Procuradoria Geral do Município.</w:t>
      </w:r>
    </w:p>
    <w:p>
      <w:pPr>
        <w:spacing w:before="0"/>
        <w:jc w:val="both"/>
        <w:rPr>
          <w:sz w:val="22"/>
          <w:szCs w:val="22"/>
        </w:rPr>
      </w:pPr>
      <w:r>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11.14.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spacing w:before="0"/>
        <w:jc w:val="both"/>
        <w:rPr>
          <w:b/>
          <w:sz w:val="22"/>
          <w:szCs w:val="22"/>
        </w:rPr>
      </w:pPr>
      <w:r>
        <w:rPr>
          <w:b/>
          <w:sz w:val="22"/>
          <w:szCs w:val="22"/>
        </w:rPr>
        <w:t>CLÁUSULA DÉCIMA SEGUNDA - DA RESCISÃO</w:t>
      </w:r>
    </w:p>
    <w:p>
      <w:pPr>
        <w:spacing w:before="0"/>
        <w:jc w:val="both"/>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rPr>
          <w:sz w:val="22"/>
          <w:szCs w:val="22"/>
        </w:rPr>
      </w:pPr>
      <w:r>
        <w:rPr>
          <w:sz w:val="22"/>
          <w:szCs w:val="22"/>
        </w:rPr>
      </w:r>
    </w:p>
    <w:p>
      <w:pPr>
        <w:spacing w:before="0"/>
        <w:jc w:val="both"/>
        <w:rPr>
          <w:b/>
          <w:sz w:val="22"/>
          <w:szCs w:val="22"/>
        </w:rPr>
      </w:pPr>
      <w:r>
        <w:rPr>
          <w:b/>
          <w:sz w:val="22"/>
          <w:szCs w:val="22"/>
        </w:rPr>
        <w:t>CLÁUSULA DÉCIMA TERCEIRA - DOS ADITAMENTOS</w:t>
      </w:r>
    </w:p>
    <w:p>
      <w:pPr>
        <w:spacing w:before="0"/>
        <w:jc w:val="both"/>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rPr>
          <w:sz w:val="22"/>
          <w:szCs w:val="22"/>
        </w:rPr>
      </w:pPr>
      <w:r>
        <w:rPr>
          <w:sz w:val="22"/>
          <w:szCs w:val="22"/>
        </w:rPr>
      </w:r>
    </w:p>
    <w:p>
      <w:pPr>
        <w:spacing w:before="0"/>
        <w:jc w:val="both"/>
        <w:rPr>
          <w:b/>
          <w:sz w:val="22"/>
          <w:szCs w:val="22"/>
        </w:rPr>
      </w:pPr>
      <w:r>
        <w:rPr>
          <w:b/>
          <w:sz w:val="22"/>
          <w:szCs w:val="22"/>
        </w:rPr>
        <w:t>CLÁUSULA DÉCIMA QUARTA - DOS RECURSOS ADMINISTRATIVOS</w:t>
      </w:r>
    </w:p>
    <w:p>
      <w:pPr>
        <w:spacing w:before="0"/>
        <w:jc w:val="both"/>
        <w:rPr>
          <w:sz w:val="22"/>
          <w:szCs w:val="22"/>
        </w:rPr>
      </w:pPr>
      <w:r>
        <w:rPr>
          <w:sz w:val="22"/>
          <w:szCs w:val="22"/>
        </w:rPr>
        <w:t>14.1. Os recursos, representação e pedido de reconsideração, somente serão acolhidos nos termos do art. 109, da Lei no 8.666/93 e alterações posteriores.</w:t>
      </w:r>
    </w:p>
    <w:p>
      <w:pPr>
        <w:spacing w:before="0"/>
        <w:jc w:val="both"/>
        <w:rPr>
          <w:sz w:val="22"/>
          <w:szCs w:val="22"/>
        </w:rPr>
      </w:pPr>
      <w:r>
        <w:rPr>
          <w:sz w:val="22"/>
          <w:szCs w:val="22"/>
        </w:rPr>
      </w:r>
    </w:p>
    <w:p>
      <w:pPr>
        <w:spacing w:before="0"/>
        <w:jc w:val="both"/>
        <w:rPr>
          <w:b/>
          <w:sz w:val="22"/>
          <w:szCs w:val="22"/>
        </w:rPr>
      </w:pPr>
      <w:r>
        <w:rPr>
          <w:b/>
          <w:sz w:val="22"/>
          <w:szCs w:val="22"/>
        </w:rPr>
        <w:t>CLÁUSULA DÉCIMA QUINTA - DO ACOMPANHAMENTO E DA FISCALIZAÇÃO</w:t>
      </w:r>
    </w:p>
    <w:p>
      <w:pPr>
        <w:spacing w:before="0"/>
        <w:jc w:val="both"/>
        <w:rPr>
          <w:sz w:val="22"/>
          <w:szCs w:val="22"/>
        </w:rPr>
      </w:pPr>
      <w:r>
        <w:rPr>
          <w:sz w:val="22"/>
          <w:szCs w:val="22"/>
        </w:rPr>
        <w:t xml:space="preserve">15.1. A execução do contrato será acompanhada pelo servidor </w:t>
      </w:r>
      <w:r>
        <w:rPr>
          <w:b/>
          <w:sz w:val="22"/>
          <w:szCs w:val="22"/>
        </w:rPr>
        <w:t>XXXXXXXXXXXXXXX</w:t>
      </w:r>
      <w:r>
        <w:rPr>
          <w:sz w:val="22"/>
          <w:szCs w:val="22"/>
        </w:rPr>
        <w:t xml:space="preserve"> designada representante da Administração nos termos do art. 67 da Lei nº 8.666/93, que deverá atestar à execução do objeto contratado, observadas as disposições deste Contrato, sem o que não será permitido qualquer pagamento.</w:t>
      </w:r>
    </w:p>
    <w:p>
      <w:pPr>
        <w:spacing w:before="0"/>
        <w:jc w:val="both"/>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rPr>
          <w:sz w:val="22"/>
          <w:szCs w:val="22"/>
        </w:rPr>
      </w:pPr>
      <w:r>
        <w:rPr>
          <w:sz w:val="22"/>
          <w:szCs w:val="22"/>
        </w:rPr>
        <w:t>15.4. A ação da fiscalização não exonera a Contratada de suas responsabilidades contratuais.</w:t>
      </w:r>
    </w:p>
    <w:p>
      <w:pPr>
        <w:spacing w:before="0"/>
        <w:jc w:val="both"/>
        <w:rPr>
          <w:sz w:val="22"/>
          <w:szCs w:val="22"/>
        </w:rPr>
      </w:pPr>
      <w:r>
        <w:rPr>
          <w:sz w:val="22"/>
          <w:szCs w:val="22"/>
        </w:rPr>
      </w:r>
    </w:p>
    <w:p>
      <w:pPr>
        <w:spacing w:before="0"/>
        <w:jc w:val="both"/>
        <w:rPr>
          <w:b/>
          <w:sz w:val="22"/>
          <w:szCs w:val="22"/>
        </w:rPr>
      </w:pPr>
      <w:r>
        <w:rPr>
          <w:b/>
          <w:sz w:val="22"/>
          <w:szCs w:val="22"/>
        </w:rPr>
        <w:t>CLÁUSULA DÉCIMA SEXTA - DO FORO</w:t>
      </w:r>
    </w:p>
    <w:p>
      <w:pPr>
        <w:spacing w:before="0"/>
        <w:jc w:val="both"/>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pStyle w:val="para37"/>
        <w:spacing w:before="0"/>
        <w:jc w:val="both"/>
        <w:widowControl w:val="0"/>
        <w:rPr>
          <w:rFonts w:ascii="Times New Roman" w:hAnsi="Times New Roman" w:eastAsia="Times New Roman"/>
        </w:rPr>
      </w:pPr>
      <w:r>
        <w:rPr>
          <w:rFonts w:ascii="Times New Roman" w:hAnsi="Times New Roman" w:eastAsia="Times New Roman"/>
        </w:rPr>
        <w:t>E, por estarem justos e contratados, assinam o presente em duas vias de igual teor e forma, para igual distribuição, para que produza seus efeitos legais.</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pStyle w:val="para37"/>
        <w:spacing w:before="0"/>
        <w:jc w:val="both"/>
        <w:widowControl w:val="0"/>
        <w:rPr>
          <w:rFonts w:ascii="Times New Roman" w:hAnsi="Times New Roman" w:eastAsia="Times New Roman"/>
        </w:rPr>
      </w:pPr>
      <w:r>
        <w:rPr>
          <w:rFonts w:ascii="Times New Roman" w:hAnsi="Times New Roman" w:eastAsia="Times New Roman"/>
        </w:rPr>
        <w:t>São Domingos do Norte/ES, XX de agosto de 2019.</w:t>
      </w:r>
    </w:p>
    <w:p>
      <w:pPr>
        <w:spacing w:before="0"/>
        <w:jc w:val="both"/>
        <w:rPr>
          <w:color w:val="000000"/>
          <w:sz w:val="22"/>
          <w:szCs w:val="22"/>
        </w:rPr>
      </w:pPr>
      <w:r>
        <w:rPr>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rPr>
          <w:b/>
          <w:iCs/>
          <w:sz w:val="22"/>
          <w:szCs w:val="22"/>
        </w:rPr>
      </w:pPr>
      <w:r>
        <w:rPr>
          <w:b/>
          <w:iCs/>
          <w:sz w:val="22"/>
          <w:szCs w:val="22"/>
        </w:rPr>
        <w:t>ANEXO X</w:t>
      </w:r>
    </w:p>
    <w:p>
      <w:pPr>
        <w:rPr>
          <w:b/>
          <w:iCs/>
          <w:sz w:val="22"/>
          <w:szCs w:val="22"/>
        </w:rPr>
      </w:pPr>
      <w:r>
        <w:rPr>
          <w:b/>
          <w:iCs/>
          <w:sz w:val="22"/>
          <w:szCs w:val="22"/>
        </w:rPr>
      </w:r>
    </w:p>
    <w:p>
      <w:pPr>
        <w:rPr>
          <w:sz w:val="22"/>
          <w:szCs w:val="22"/>
        </w:rPr>
      </w:pPr>
      <w:r>
        <w:rPr>
          <w:sz w:val="22"/>
          <w:szCs w:val="22"/>
        </w:rPr>
        <w:t>DECLARAÇÃO DE IDONEIDADE</w:t>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27/2019 -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27/2019 - SRP, que a empresa citada acima  NÃO se encontra declarada inidônea para licitar ou contratar com órgãos da Administração Pública Federal, Estadual, Municipal e do Distrito Federal.</w:t>
      </w:r>
    </w:p>
    <w:p>
      <w:pPr>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2019.</w:t>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ab/>
        <w:tab/>
        <w:t>(Nome completo por extenso do responsável pela Pessoa Jurídica)</w:t>
      </w:r>
    </w:p>
    <w:p>
      <w:pPr>
        <w:spacing/>
        <w:jc w:val="both"/>
        <w:rPr>
          <w:sz w:val="22"/>
          <w:szCs w:val="22"/>
        </w:rPr>
      </w:pPr>
      <w:r>
        <w:rPr>
          <w:sz w:val="22"/>
          <w:szCs w:val="22"/>
        </w:rPr>
        <w:t xml:space="preserve">                        (assinatura e carimbo do CNPJ)</w:t>
      </w:r>
    </w:p>
    <w:p>
      <w:pPr>
        <w:spacing/>
        <w:jc w:val="both"/>
        <w:rPr>
          <w:b/>
          <w:sz w:val="22"/>
          <w:szCs w:val="22"/>
        </w:rPr>
      </w:pPr>
      <w:r>
        <w:rPr>
          <w:b/>
          <w:sz w:val="22"/>
          <w:szCs w:val="22"/>
        </w:rPr>
        <w:t>* Apresentar na habilitação</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 xml:space="preserve">    </w:t>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t>ANEXO XI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27/2019 -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2019.</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color w:val="000000"/>
          <w:sz w:val="22"/>
          <w:szCs w:val="22"/>
        </w:rPr>
      </w:pPr>
      <w:r>
        <w:rPr>
          <w:b/>
          <w:sz w:val="22"/>
          <w:szCs w:val="22"/>
        </w:rPr>
        <w:t>* Apresentar no credenciamento</w:t>
      </w:r>
      <w:r>
        <w:rPr>
          <w:sz w:val="22"/>
          <w:szCs w:val="22"/>
        </w:rPr>
        <w:t>.</w:t>
      </w:r>
      <w:r>
        <w:rPr>
          <w:color w:val="000000"/>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00000000000000000"/>
    <w:charset w:val="81"/>
    <w:family w:val="auto"/>
    <w:pitch w:val="default"/>
  </w:font>
  <w:font w:name="BookmanOldStyle">
    <w:panose1 w:val="02000000000000000000"/>
    <w:charset w:val="81"/>
    <w:family w:val="auto"/>
    <w:pitch w:val="default"/>
  </w:font>
  <w:font w:name="¹Å">
    <w:panose1 w:val="02020603050405020304"/>
    <w:charset w:val="00"/>
    <w:family w:val="roman"/>
    <w:pitch w:val="default"/>
  </w:font>
  <w:font w:name="Algerian">
    <w:panose1 w:val="04020705040A02060702"/>
    <w:charset w:val="00"/>
    <w:family w:val="decorative"/>
    <w:pitch w:val="default"/>
  </w:font>
  <w:font w:name="Cambria">
    <w:panose1 w:val="02040503050406030204"/>
    <w:charset w:val="00"/>
    <w:family w:val="roman"/>
    <w:pitch w:val="default"/>
  </w:font>
  <w:font w:name="MS Minngs">
    <w:panose1 w:val="020B0604020202020204"/>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5_ubdBXR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AAAAACQ4gAAQAAAAAAAAAADAAAAAQAAAAAAAAABAAAAAgAAAAEAAAC0AAAAXQEAAAAAAABhKQAAnD0AACgAAAAIAAAAAgAAAAI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5_ubdBXR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gAAABgAAAAAAAAAAAAAAAAAAAAAAAAAAAAAAAAAAAAkAAAAJAAAAAAAAAAHAAAAAAAAAAAAAAAAAAAAAAAAAAAAAAAAAAAAf39/ACUAAABYAAAAAAAAAAAAAAAAAAAAAAAAAAAAAAAAAAAAAAAAAAAAAAAAAAAAAAAAAAAAAAA/AAAAAAAAAKCGAQAAAAAAAAAAAAAAAAAMAAAAAQAAAAAAAAAAAAAAAAAAACEAAABAAAAAPAAAAAAAAACQ4gAAQAAAAAAAAAADAAAAAQAAAAAAAAABAAAAAgAAAAEAAAC0AAAAXQEAAAAAAABhKQAAnD0AACgAAAAIAAAAAgAAAAI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2689860</wp:posOffset>
          </wp:positionH>
          <wp:positionV relativeFrom="paragraph">
            <wp:posOffset>22225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7_ubdB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IYQs9tlCAn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EKAAAAAAAAAAAAAAAAAAAAIAAACMEAAAAAAAAAIAAAAjAAAAkgQAALEDAAAAAAAA+hQAAPMCAAAoAAAACAAAAAEAAAAB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rPr>
    </w:pPr>
    <w:r>
      <w:rPr>
        <w:rFonts w:ascii="Algerian" w:hAnsi="Algerian"/>
        <w:sz w:val="20"/>
      </w:rPr>
    </w:r>
  </w:p>
  <w:p>
    <w:pPr>
      <w:pStyle w:val="para3"/>
      <w:ind w:left="0"/>
      <w:spacing w:before="0"/>
      <w:jc w:val="center"/>
      <w:tabs defTabSz="709">
        <w:tab w:val="left" w:pos="1245" w:leader="none"/>
        <w:tab w:val="center" w:pos="4712" w:leader="none"/>
      </w:tabs>
      <w:rPr>
        <w:sz w:val="20"/>
      </w:rPr>
    </w:pPr>
    <w:r>
      <w:rPr>
        <w:sz w:val="20"/>
      </w:rPr>
      <w:t>Prefeitura Municipal de São Domingos do Norte</w:t>
    </w:r>
  </w:p>
  <w:p>
    <w:pPr>
      <w:spacing w:before="0"/>
      <w:rPr>
        <w:color w:val="000000"/>
      </w:rPr>
    </w:pPr>
    <w:r>
      <w:rPr>
        <w:color w:val="000000"/>
      </w:rPr>
      <w:t>Rod. Gether Lopes de Farias, s/nº - Bairro Emílio Calegari - São Domingos do Norte/ES - CEP 29745-000</w:t>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start w:val="1"/>
      <w:numFmt w:val="decimal"/>
      <w:suff w:val="tab"/>
      <w:lvlText w:val="%1."/>
      <w:lvlJc w:val="left"/>
      <w:pPr>
        <w:ind w:left="0" w:hanging="0"/>
      </w:pPr>
    </w:lvl>
    <w:lvl w:ilvl="1">
      <w:start w:val="1"/>
      <w:numFmt w:val="decimal"/>
      <w:suff w:val="tab"/>
      <w:lvlText w:val="%1.%2."/>
      <w:lvlJc w:val="left"/>
      <w:pPr>
        <w:ind w:left="360" w:hanging="0"/>
      </w:pPr>
    </w:lvl>
    <w:lvl w:ilvl="2">
      <w:start w:val="1"/>
      <w:numFmt w:val="decimal"/>
      <w:suff w:val="tab"/>
      <w:lvlText w:val="%1.%2.%3."/>
      <w:lvlJc w:val="left"/>
      <w:pPr>
        <w:ind w:left="720" w:hanging="0"/>
      </w:pPr>
    </w:lvl>
    <w:lvl w:ilvl="3">
      <w:start w:val="1"/>
      <w:numFmt w:val="decimal"/>
      <w:suff w:val="tab"/>
      <w:lvlText w:val="%1.%2.%3.%4."/>
      <w:lvlJc w:val="left"/>
      <w:pPr>
        <w:ind w:left="1080" w:hanging="0"/>
      </w:pPr>
    </w:lvl>
    <w:lvl w:ilvl="4">
      <w:start w:val="1"/>
      <w:numFmt w:val="decimal"/>
      <w:suff w:val="tab"/>
      <w:lvlText w:val="%1.%2.%3.%4.%5."/>
      <w:lvlJc w:val="left"/>
      <w:pPr>
        <w:ind w:left="1440" w:hanging="0"/>
      </w:pPr>
    </w:lvl>
    <w:lvl w:ilvl="5">
      <w:start w:val="1"/>
      <w:numFmt w:val="decimal"/>
      <w:suff w:val="tab"/>
      <w:lvlText w:val="%1.%2.%3.%4.%5.%6."/>
      <w:lvlJc w:val="left"/>
      <w:pPr>
        <w:ind w:left="1800" w:hanging="0"/>
      </w:pPr>
    </w:lvl>
    <w:lvl w:ilvl="6">
      <w:start w:val="1"/>
      <w:numFmt w:val="decimal"/>
      <w:suff w:val="tab"/>
      <w:lvlText w:val="%1.%2.%3.%4.%5.%6.%7."/>
      <w:lvlJc w:val="left"/>
      <w:pPr>
        <w:ind w:left="2160" w:hanging="0"/>
      </w:pPr>
    </w:lvl>
    <w:lvl w:ilvl="7">
      <w:start w:val="1"/>
      <w:numFmt w:val="decimal"/>
      <w:suff w:val="tab"/>
      <w:lvlText w:val="%1.%2.%3.%4.%5.%6.%7.%8."/>
      <w:lvlJc w:val="left"/>
      <w:pPr>
        <w:ind w:left="2520" w:hanging="0"/>
      </w:pPr>
    </w:lvl>
    <w:lvl w:ilvl="8">
      <w:start w:val="1"/>
      <w:numFmt w:val="decimal"/>
      <w:suff w:val="tab"/>
      <w:lvlText w:val="%1.%2.%3.%4.%5.%6.%7.%8.%9."/>
      <w:lvlJc w:val="left"/>
      <w:pPr>
        <w:ind w:left="2880" w:hanging="0"/>
      </w:pPr>
    </w:lvl>
  </w:abstractNum>
  <w:abstractNum w:abstractNumId="5">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6">
    <w:multiLevelType w:val="hybridMultilevel"/>
    <w:name w:val="Lista numerada 6"/>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7"/>
    <w:lvl w:ilvl="0">
      <w:numFmt w:val="bullet"/>
      <w:suff w:val="tab"/>
      <w:lvlText w:val=""/>
      <w:lvlJc w:val="left"/>
      <w:pPr>
        <w:ind w:left="0" w:hanging="0"/>
      </w:pPr>
      <w:rPr>
        <w:rFonts w:ascii="Symbol" w:hAnsi="Symbol"/>
      </w:rPr>
    </w:lvl>
    <w:lvl w:ilvl="1">
      <w:numFmt w:val="bullet"/>
      <w:suff w:val="tab"/>
      <w:lvlText w:val="o"/>
      <w:lvlJc w:val="left"/>
      <w:pPr>
        <w:ind w:left="1014" w:hanging="0"/>
      </w:pPr>
      <w:rPr>
        <w:rFonts w:ascii="Courier New" w:hAnsi="Courier New" w:cs="Courier New"/>
      </w:rPr>
    </w:lvl>
    <w:lvl w:ilvl="2">
      <w:numFmt w:val="bullet"/>
      <w:suff w:val="tab"/>
      <w:lvlText w:val=""/>
      <w:lvlJc w:val="left"/>
      <w:pPr>
        <w:ind w:left="1734" w:hanging="0"/>
      </w:pPr>
      <w:rPr>
        <w:rFonts w:ascii="Wingdings" w:hAnsi="Wingdings" w:eastAsia="Wingdings" w:cs="Wingdings"/>
      </w:rPr>
    </w:lvl>
    <w:lvl w:ilvl="3">
      <w:numFmt w:val="bullet"/>
      <w:suff w:val="tab"/>
      <w:lvlText w:val=""/>
      <w:lvlJc w:val="left"/>
      <w:pPr>
        <w:ind w:left="2454" w:hanging="0"/>
      </w:pPr>
      <w:rPr>
        <w:rFonts w:ascii="Symbol" w:hAnsi="Symbol"/>
      </w:rPr>
    </w:lvl>
    <w:lvl w:ilvl="4">
      <w:numFmt w:val="bullet"/>
      <w:suff w:val="tab"/>
      <w:lvlText w:val="o"/>
      <w:lvlJc w:val="left"/>
      <w:pPr>
        <w:ind w:left="3174" w:hanging="0"/>
      </w:pPr>
      <w:rPr>
        <w:rFonts w:ascii="Courier New" w:hAnsi="Courier New" w:cs="Courier New"/>
      </w:rPr>
    </w:lvl>
    <w:lvl w:ilvl="5">
      <w:numFmt w:val="bullet"/>
      <w:suff w:val="tab"/>
      <w:lvlText w:val=""/>
      <w:lvlJc w:val="left"/>
      <w:pPr>
        <w:ind w:left="3894" w:hanging="0"/>
      </w:pPr>
      <w:rPr>
        <w:rFonts w:ascii="Wingdings" w:hAnsi="Wingdings" w:eastAsia="Wingdings" w:cs="Wingdings"/>
      </w:rPr>
    </w:lvl>
    <w:lvl w:ilvl="6">
      <w:numFmt w:val="bullet"/>
      <w:suff w:val="tab"/>
      <w:lvlText w:val=""/>
      <w:lvlJc w:val="left"/>
      <w:pPr>
        <w:ind w:left="4614" w:hanging="0"/>
      </w:pPr>
      <w:rPr>
        <w:rFonts w:ascii="Symbol" w:hAnsi="Symbol"/>
      </w:rPr>
    </w:lvl>
    <w:lvl w:ilvl="7">
      <w:numFmt w:val="bullet"/>
      <w:suff w:val="tab"/>
      <w:lvlText w:val="o"/>
      <w:lvlJc w:val="left"/>
      <w:pPr>
        <w:ind w:left="5334" w:hanging="0"/>
      </w:pPr>
      <w:rPr>
        <w:rFonts w:ascii="Courier New" w:hAnsi="Courier New" w:cs="Courier New"/>
      </w:rPr>
    </w:lvl>
    <w:lvl w:ilvl="8">
      <w:numFmt w:val="bullet"/>
      <w:suff w:val="tab"/>
      <w:lvlText w:val=""/>
      <w:lvlJc w:val="left"/>
      <w:pPr>
        <w:ind w:left="6054" w:hanging="0"/>
      </w:pPr>
      <w:rPr>
        <w:rFonts w:ascii="Wingdings" w:hAnsi="Wingdings" w:eastAsia="Wingdings" w:cs="Wingdings"/>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4">
    <w:multiLevelType w:val="hybridMultilevel"/>
    <w:name w:val="Lista numerada 14"/>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5">
    <w:multiLevelType w:val="hybridMultilevel"/>
    <w:name w:val="Lista numerada 15"/>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17"/>
    <w:lvl w:ilvl="0">
      <w:start w:val="20"/>
      <w:numFmt w:val="decimal"/>
      <w:suff w:val="tab"/>
      <w:lvlText w:val="%1"/>
      <w:lvlJc w:val="left"/>
      <w:pPr>
        <w:ind w:left="0" w:hanging="0"/>
      </w:pPr>
    </w:lvl>
    <w:lvl w:ilvl="1">
      <w:start w:val="1"/>
      <w:numFmt w:val="decimal"/>
      <w:suff w:val="tab"/>
      <w:lvlText w:val="%1.%2"/>
      <w:lvlJc w:val="left"/>
      <w:pPr>
        <w:ind w:left="-426" w:hanging="0"/>
      </w:pPr>
    </w:lvl>
    <w:lvl w:ilvl="2">
      <w:start w:val="1"/>
      <w:numFmt w:val="decimal"/>
      <w:suff w:val="tab"/>
      <w:lvlText w:val="%1.%2.%3"/>
      <w:lvlJc w:val="left"/>
      <w:pPr>
        <w:ind w:left="-852" w:hanging="0"/>
      </w:pPr>
    </w:lvl>
    <w:lvl w:ilvl="3">
      <w:start w:val="1"/>
      <w:numFmt w:val="decimal"/>
      <w:suff w:val="tab"/>
      <w:lvlText w:val="%1.%2.%3.%4"/>
      <w:lvlJc w:val="left"/>
      <w:pPr>
        <w:ind w:left="-1278" w:hanging="0"/>
      </w:pPr>
    </w:lvl>
    <w:lvl w:ilvl="4">
      <w:start w:val="1"/>
      <w:numFmt w:val="decimal"/>
      <w:suff w:val="tab"/>
      <w:lvlText w:val="%1.%2.%3.%4.%5"/>
      <w:lvlJc w:val="left"/>
      <w:pPr>
        <w:ind w:left="-1704" w:hanging="0"/>
      </w:pPr>
    </w:lvl>
    <w:lvl w:ilvl="5">
      <w:start w:val="1"/>
      <w:numFmt w:val="decimal"/>
      <w:suff w:val="tab"/>
      <w:lvlText w:val="%1.%2.%3.%4.%5.%6"/>
      <w:lvlJc w:val="left"/>
      <w:pPr>
        <w:ind w:left="-2130" w:hanging="0"/>
      </w:pPr>
    </w:lvl>
    <w:lvl w:ilvl="6">
      <w:start w:val="1"/>
      <w:numFmt w:val="decimal"/>
      <w:suff w:val="tab"/>
      <w:lvlText w:val="%1.%2.%3.%4.%5.%6.%7"/>
      <w:lvlJc w:val="left"/>
      <w:pPr>
        <w:ind w:left="-2556" w:hanging="0"/>
      </w:pPr>
    </w:lvl>
    <w:lvl w:ilvl="7">
      <w:start w:val="1"/>
      <w:numFmt w:val="decimal"/>
      <w:suff w:val="tab"/>
      <w:lvlText w:val="%1.%2.%3.%4.%5.%6.%7.%8"/>
      <w:lvlJc w:val="left"/>
      <w:pPr>
        <w:ind w:left="-2982" w:hanging="0"/>
      </w:pPr>
    </w:lvl>
    <w:lvl w:ilvl="8">
      <w:start w:val="1"/>
      <w:numFmt w:val="decimal"/>
      <w:suff w:val="tab"/>
      <w:lvlText w:val="%1.%2.%3.%4.%5.%6.%7.%8.%9"/>
      <w:lvlJc w:val="left"/>
      <w:pPr>
        <w:ind w:left="-3408" w:hanging="0"/>
      </w:pPr>
    </w:lvl>
  </w:abstractNum>
  <w:abstractNum w:abstractNumId="18">
    <w:multiLevelType w:val="hybridMultilevel"/>
    <w:name w:val="Lista numerada 18"/>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9">
    <w:multiLevelType w:val="hybridMultilevel"/>
    <w:name w:val="Lista numerada 19"/>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0">
    <w:multiLevelType w:val="hybridMultilevel"/>
    <w:name w:val="Lista numerada 20"/>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1">
    <w:multiLevelType w:val="hybridMultilevel"/>
    <w:name w:val="Lista numerada 21"/>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3"/>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4">
    <w:multiLevelType w:val="hybridMultilevel"/>
    <w:name w:val="Lista numerada 24"/>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5">
    <w:multiLevelType w:val="hybridMultilevel"/>
    <w:name w:val="Lista numerada 25"/>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6">
    <w:multiLevelType w:val="hybridMultilevel"/>
    <w:name w:val="Lista numerada 26"/>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7">
    <w:multiLevelType w:val="hybridMultilevel"/>
    <w:name w:val="Lista numerada 2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8">
    <w:multiLevelType w:val="hybridMultilevel"/>
    <w:name w:val="Lista numerada 28"/>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9">
    <w:multiLevelType w:val="hybridMultilevel"/>
    <w:name w:val="Lista numerada 29"/>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31"/>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12"/>
      <w:tmLastPosIdx w:val="69"/>
    </w:tmLastPosCaret>
    <w:tmLastPosAnchor>
      <w:tmLastPosPgfIdx w:val="0"/>
      <w:tmLastPosIdx w:val="0"/>
    </w:tmLastPosAnchor>
    <w:tmLastPosTblRect w:left="0" w:top="0" w:right="0" w:bottom="0"/>
  </w:tmLastPos>
  <w:tmAppRevision w:date="1564587961" w:val="96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rev.966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31</cp:revision>
  <cp:lastPrinted>2019-07-31T15:46:10Z</cp:lastPrinted>
  <dcterms:created xsi:type="dcterms:W3CDTF">2017-01-18T09:29:00Z</dcterms:created>
  <dcterms:modified xsi:type="dcterms:W3CDTF">2019-07-31T15:46:01Z</dcterms:modified>
</cp:coreProperties>
</file>