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right="420"/>
        <w:spacing/>
        <w:jc w:val="center"/>
        <w:rPr>
          <w:rFonts w:ascii="Cambria" w:hAnsi="Cambria" w:eastAsia="Arial" w:cs="Arial"/>
          <w:b/>
          <w:bCs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</w:r>
    </w:p>
    <w:p>
      <w:pPr>
        <w:ind w:right="420"/>
        <w:spacing/>
        <w:jc w:val="center"/>
        <w:rPr>
          <w:rFonts w:ascii="Cambria" w:hAnsi="Cambria" w:eastAsia="Arial" w:cs="Arial"/>
          <w:b/>
          <w:bCs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>TERMO DE REFERÊNCIA CONSOLIDADO</w:t>
      </w:r>
    </w:p>
    <w:p>
      <w:pPr>
        <w:ind w:right="420"/>
        <w:spacing/>
        <w:jc w:val="center"/>
        <w:rPr>
          <w:rFonts w:ascii="Cambria" w:hAnsi="Cambria" w:eastAsia="Arial" w:cs="Arial"/>
          <w:b/>
          <w:bCs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 xml:space="preserve"> MATERIAIS DE EXPEDIENTE</w:t>
      </w:r>
    </w:p>
    <w:p>
      <w:pPr>
        <w:ind w:right="420"/>
        <w:rPr>
          <w:rFonts w:ascii="Cambria" w:hAnsi="Cambria" w:cs="Cambria"/>
          <w:sz w:val="24"/>
          <w:szCs w:val="24"/>
          <w:u w:color="auto" w:val="single"/>
        </w:rPr>
      </w:pPr>
      <w:r>
        <w:rPr>
          <w:rFonts w:ascii="Cambria" w:hAnsi="Cambria" w:cs="Cambria"/>
          <w:sz w:val="24"/>
          <w:szCs w:val="24"/>
          <w:u w:color="auto" w:val="single"/>
        </w:rPr>
      </w:r>
    </w:p>
    <w:p>
      <w:pPr>
        <w:spacing/>
        <w:jc w:val="both"/>
        <w:rPr>
          <w:rFonts w:ascii="Cambria" w:hAnsi="Cambria" w:cs="Cambria"/>
          <w:b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>1. IDENTIFICAÇÃO:</w:t>
      </w:r>
    </w:p>
    <w:p>
      <w:pPr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      MEMORANDOS: </w:t>
      </w:r>
    </w:p>
    <w:p>
      <w:pPr>
        <w:pStyle w:val="para1"/>
        <w:numPr>
          <w:ilvl w:val="0"/>
          <w:numId w:val="3"/>
        </w:numPr>
        <w:ind w:left="502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0131/2019 – SEMTADES </w:t>
      </w:r>
    </w:p>
    <w:p>
      <w:pPr>
        <w:pStyle w:val="para1"/>
        <w:numPr>
          <w:ilvl w:val="0"/>
          <w:numId w:val="3"/>
        </w:numPr>
        <w:ind w:left="502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027/ 2019 – SEMAM </w:t>
      </w:r>
    </w:p>
    <w:p>
      <w:pPr>
        <w:pStyle w:val="para1"/>
        <w:numPr>
          <w:ilvl w:val="0"/>
          <w:numId w:val="3"/>
        </w:numPr>
        <w:ind w:left="502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041/ 2019 – GABINETE </w:t>
      </w:r>
    </w:p>
    <w:p>
      <w:pPr>
        <w:pStyle w:val="para1"/>
        <w:numPr>
          <w:ilvl w:val="0"/>
          <w:numId w:val="3"/>
        </w:numPr>
        <w:ind w:left="502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038/ 2019 – SEMAG</w:t>
      </w:r>
    </w:p>
    <w:p>
      <w:pPr>
        <w:pStyle w:val="para1"/>
        <w:numPr>
          <w:ilvl w:val="0"/>
          <w:numId w:val="3"/>
        </w:numPr>
        <w:ind w:left="502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071/ 2019 – SEMUR</w:t>
      </w:r>
    </w:p>
    <w:p>
      <w:pPr>
        <w:pStyle w:val="para1"/>
        <w:numPr>
          <w:ilvl w:val="0"/>
          <w:numId w:val="3"/>
        </w:numPr>
        <w:ind w:left="502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012/ 2019 – PROGER</w:t>
      </w:r>
    </w:p>
    <w:p>
      <w:pPr>
        <w:pStyle w:val="para1"/>
        <w:numPr>
          <w:ilvl w:val="0"/>
          <w:numId w:val="3"/>
        </w:numPr>
        <w:ind w:left="502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029/ 2019 – SEMAF/ SEMFA</w:t>
      </w:r>
    </w:p>
    <w:p>
      <w:pPr>
        <w:pStyle w:val="para1"/>
        <w:numPr>
          <w:ilvl w:val="0"/>
          <w:numId w:val="3"/>
        </w:numPr>
        <w:ind w:left="502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0306/ 2019 – SEMEC</w:t>
      </w:r>
    </w:p>
    <w:p>
      <w:pPr>
        <w:pStyle w:val="para1"/>
        <w:numPr>
          <w:ilvl w:val="0"/>
          <w:numId w:val="3"/>
        </w:numPr>
        <w:ind w:left="502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015/ 2019 – SECONT</w:t>
      </w:r>
    </w:p>
    <w:p>
      <w:pPr>
        <w:pStyle w:val="para1"/>
        <w:ind w:left="284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color w:val="ff0000"/>
          <w:sz w:val="20"/>
          <w:szCs w:val="20"/>
        </w:rPr>
      </w:r>
    </w:p>
    <w:p>
      <w:pPr>
        <w:spacing/>
        <w:jc w:val="both"/>
        <w:rPr>
          <w:rFonts w:cs="Calibri"/>
          <w:b/>
        </w:rPr>
      </w:pPr>
      <w:r>
        <w:rPr>
          <w:rFonts w:cs="Calibri"/>
          <w:b/>
        </w:rPr>
        <w:t xml:space="preserve"> </w:t>
      </w:r>
    </w:p>
    <w:p>
      <w:pPr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 xml:space="preserve">2. </w:t>
      </w: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DA DESCRIÇÃO DO(S) OBJETO(S)</w:t>
      </w: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</w:r>
    </w:p>
    <w:p>
      <w:pPr>
        <w:spacing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2.1.</w:t>
      </w:r>
      <w:r>
        <w:rPr>
          <w:rFonts w:ascii="Cambria" w:hAnsi="Cambria" w:eastAsia="MS Minngs" w:cs="Arial"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</w:rPr>
        <w:t>O presente Termo de Referência tem por objeto a Aquisição de materiais de Expediente/Papelaria, para atender as atividades diárias da Secretaria Municipal do Trabalho, Assistência e Desenvolvimento Social, Secretaria Municipal de Educação e Cultura, Gabinete, Secretaria Municipal de Administração e Finanças, Secretaria Municipal da Fazenda, Secretaria Municipal de Obras e Serviços Urbanos, Secretaria Municipal de Agricultura, Secretaria Municipal de Meio Ambiente, Secretaria Municipal de Controle e Transparência e Procuradoria, conforme quantidades e especificações contidas no anexo deste termo.</w:t>
      </w:r>
      <w:r>
        <w:rPr>
          <w:rFonts w:ascii="Cambria" w:hAnsi="Cambria" w:cs="Cambria"/>
          <w:sz w:val="24"/>
          <w:szCs w:val="24"/>
        </w:rPr>
      </w:r>
    </w:p>
    <w:p>
      <w:pPr>
        <w:ind w:right="77"/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sz w:val="24"/>
          <w:szCs w:val="24"/>
        </w:rPr>
      </w:r>
    </w:p>
    <w:p>
      <w:pPr>
        <w:ind w:right="77"/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3. DA JUSTIFICATIVA</w:t>
      </w:r>
    </w:p>
    <w:p>
      <w:pPr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>3.1.</w:t>
      </w:r>
      <w:r>
        <w:rPr>
          <w:rFonts w:ascii="Cambria" w:hAnsi="Cambria" w:cs="Cambria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</w:rPr>
        <w:t xml:space="preserve">O planejamento de atividades desta Prefeitura Municipal de São Domingos do Norte/ES, juntamente com as suas </w:t>
      </w:r>
      <w:r>
        <w:rPr>
          <w:rFonts w:ascii="Cambria" w:hAnsi="Cambria" w:cs="Cambria"/>
          <w:sz w:val="24"/>
          <w:szCs w:val="24"/>
        </w:rPr>
        <w:t xml:space="preserve">Secretarias e setores, </w:t>
      </w:r>
      <w:r>
        <w:rPr>
          <w:rFonts w:ascii="Cambria" w:hAnsi="Cambria" w:cs="Arial"/>
          <w:sz w:val="24"/>
          <w:szCs w:val="24"/>
        </w:rPr>
        <w:t>contemplam tarefas diversas, de complexidade variadas, e visa atender às demandas das unidades administrativas a ela vinculadas e ao assessoramento e assistências destas secretarias. Para viabilizar as ações planejadas, é imprescindível que os setores disponham de materiais destinados a boa manutenção dos trabalhos e que ofereçam adequadas condições para a realização de suas atividades precípuas.</w:t>
      </w:r>
      <w:r>
        <w:rPr>
          <w:rFonts w:ascii="Cambria" w:hAnsi="Cambria" w:cs="Arial"/>
          <w:sz w:val="24"/>
          <w:szCs w:val="24"/>
        </w:rPr>
      </w:r>
    </w:p>
    <w:p>
      <w:pPr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4. DO PRAZO, LOCAL DO FORNECIMENTO E CRITÉRIOS DE RECEBIMENTO.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4.1</w:t>
      </w:r>
      <w:r>
        <w:rPr>
          <w:rFonts w:ascii="Cambria" w:hAnsi="Cambria" w:eastAsia="MS Minngs" w:cs="Arial"/>
          <w:sz w:val="24"/>
          <w:szCs w:val="24"/>
        </w:rPr>
        <w:t xml:space="preserve">. </w:t>
      </w:r>
      <w:r>
        <w:rPr>
          <w:rFonts w:ascii="Cambria" w:hAnsi="Cambria" w:cs="Arial"/>
          <w:sz w:val="24"/>
          <w:szCs w:val="24"/>
          <w:lang w:eastAsia="zh-cn"/>
        </w:rPr>
        <w:t xml:space="preserve">A entrega deverá ser efetuada em até 05 (cinco) dias após a expedição da Ordem de Fornecimento </w:t>
      </w:r>
      <w:r>
        <w:rPr>
          <w:rFonts w:ascii="Cambria" w:hAnsi="Cambria" w:eastAsia="MS Minngs" w:cs="Arial"/>
          <w:sz w:val="24"/>
          <w:szCs w:val="24"/>
        </w:rPr>
        <w:t>emitida</w:t>
      </w:r>
      <w:r>
        <w:rPr>
          <w:rFonts w:ascii="Cambria" w:hAnsi="Cambria" w:cs="Arial"/>
          <w:sz w:val="24"/>
          <w:szCs w:val="24"/>
          <w:lang w:eastAsia="zh-cn"/>
        </w:rPr>
        <w:t xml:space="preserve"> pelo Setor de Compras, contando-se o prazo a partir da comunicação formal que será efetuada via email ou outro meio hábil. A entrega será de forma </w:t>
      </w:r>
      <w:r>
        <w:rPr>
          <w:rFonts w:ascii="Cambria" w:hAnsi="Cambria" w:eastAsia="MS Minngs" w:cs="Arial"/>
          <w:b/>
          <w:sz w:val="24"/>
          <w:szCs w:val="24"/>
        </w:rPr>
        <w:t>parcelada</w:t>
      </w:r>
      <w:r>
        <w:rPr>
          <w:rFonts w:ascii="Cambria" w:hAnsi="Cambria" w:eastAsia="MS Minngs" w:cs="Arial"/>
          <w:sz w:val="24"/>
          <w:szCs w:val="24"/>
        </w:rPr>
        <w:t>, mediante solicitação das Secretarias Municipal desta instituição.</w:t>
      </w:r>
      <w:r>
        <w:rPr>
          <w:rFonts w:ascii="Cambria" w:hAnsi="Cambria" w:eastAsia="MS Minngs" w:cs="Arial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4.2</w:t>
      </w:r>
      <w:r>
        <w:rPr>
          <w:rFonts w:ascii="Cambria" w:hAnsi="Cambria" w:eastAsia="MS Minngs" w:cs="Arial"/>
          <w:sz w:val="24"/>
          <w:szCs w:val="24"/>
        </w:rPr>
        <w:t>. As mercadorias deverão ser entregues nos locais destinados no almoxarifado de cada Secretaria deste Município, bem como a cópia reprográfica da “Ordem de Fornecimento”.</w:t>
      </w:r>
    </w:p>
    <w:p>
      <w:pPr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4.3</w:t>
      </w:r>
      <w:r>
        <w:rPr>
          <w:rFonts w:ascii="Cambria" w:hAnsi="Cambria" w:eastAsia="MS Minngs" w:cs="Arial"/>
          <w:sz w:val="24"/>
          <w:szCs w:val="24"/>
        </w:rPr>
        <w:t xml:space="preserve">.  </w:t>
      </w:r>
      <w:r>
        <w:rPr>
          <w:rFonts w:ascii="Cambria" w:hAnsi="Cambria" w:cs="Arial"/>
          <w:sz w:val="24"/>
          <w:szCs w:val="24"/>
        </w:rPr>
        <w:t>Os objetos deverão ser entregues devidamente embaladas, de forma a não serem danificadas durante as operações de transporte e descarga no local de entrega.</w:t>
      </w:r>
      <w:r>
        <w:rPr>
          <w:rFonts w:ascii="Cambria" w:hAnsi="Cambria" w:cs="Arial"/>
          <w:sz w:val="24"/>
          <w:szCs w:val="24"/>
        </w:rPr>
      </w:r>
    </w:p>
    <w:p>
      <w:pPr>
        <w:spacing/>
        <w:jc w:val="both"/>
        <w:suppressAutoHyphens/>
        <w:hyphenationLines w:val="0"/>
        <w:rPr>
          <w:rFonts w:ascii="Cambria" w:hAnsi="Cambria" w:cs="Arial"/>
          <w:sz w:val="24"/>
          <w:szCs w:val="24"/>
          <w:lang w:eastAsia="zh-cn"/>
        </w:rPr>
      </w:pPr>
      <w:r>
        <w:rPr>
          <w:rFonts w:ascii="Cambria" w:hAnsi="Cambria" w:cs="Arial"/>
          <w:b/>
          <w:sz w:val="24"/>
          <w:szCs w:val="24"/>
        </w:rPr>
        <w:t>4.4</w:t>
      </w:r>
      <w:r>
        <w:rPr>
          <w:rFonts w:ascii="Cambria" w:hAnsi="Cambria" w:cs="Arial"/>
          <w:sz w:val="24"/>
          <w:szCs w:val="24"/>
        </w:rPr>
        <w:t xml:space="preserve">. </w:t>
      </w:r>
      <w:r>
        <w:rPr>
          <w:rFonts w:ascii="Cambria" w:hAnsi="Cambria" w:cs="Arial"/>
          <w:sz w:val="24"/>
          <w:szCs w:val="24"/>
          <w:lang w:eastAsia="zh-cn"/>
        </w:rPr>
        <w:t>Os demais objetos a serem ofertados deverão ser de ótima qualidade, atender às especificações técnicas exigidas e obedecer rigorosamente:</w:t>
      </w:r>
      <w:r>
        <w:rPr>
          <w:rFonts w:ascii="Cambria" w:hAnsi="Cambria" w:cs="Arial"/>
          <w:sz w:val="24"/>
          <w:szCs w:val="24"/>
          <w:lang w:eastAsia="zh-cn"/>
        </w:rPr>
      </w:r>
    </w:p>
    <w:p>
      <w:pPr>
        <w:numPr>
          <w:ilvl w:val="0"/>
          <w:numId w:val="2"/>
        </w:numPr>
        <w:ind w:left="774" w:hanging="360"/>
        <w:spacing/>
        <w:jc w:val="both"/>
        <w:suppressAutoHyphens/>
        <w:hyphenationLines w:val="0"/>
        <w:rPr>
          <w:rFonts w:ascii="Cambria" w:hAnsi="Cambria" w:cs="Arial"/>
          <w:sz w:val="24"/>
          <w:szCs w:val="24"/>
          <w:lang w:eastAsia="zh-cn"/>
        </w:rPr>
      </w:pPr>
      <w:r>
        <w:rPr>
          <w:rFonts w:ascii="Cambria" w:hAnsi="Cambria" w:cs="Arial"/>
          <w:sz w:val="24"/>
          <w:szCs w:val="24"/>
          <w:lang w:eastAsia="zh-cn"/>
        </w:rPr>
        <w:t>Às normas e especificações constantes neste Termo;</w:t>
      </w:r>
    </w:p>
    <w:p>
      <w:pPr>
        <w:numPr>
          <w:ilvl w:val="0"/>
          <w:numId w:val="2"/>
        </w:numPr>
        <w:ind w:left="774" w:hanging="360"/>
        <w:spacing/>
        <w:jc w:val="both"/>
        <w:suppressAutoHyphens/>
        <w:hyphenationLines w:val="0"/>
        <w:rPr>
          <w:rFonts w:ascii="Cambria" w:hAnsi="Cambria" w:cs="Arial"/>
          <w:sz w:val="24"/>
          <w:szCs w:val="24"/>
          <w:lang w:eastAsia="zh-cn"/>
        </w:rPr>
      </w:pPr>
      <w:r>
        <w:rPr>
          <w:rFonts w:ascii="Cambria" w:hAnsi="Cambria" w:cs="Arial"/>
          <w:sz w:val="24"/>
          <w:szCs w:val="24"/>
          <w:lang w:eastAsia="zh-cn"/>
        </w:rPr>
        <w:t>Às normas da ABNT, ISO, ANVISA ou INMETRO conforme especificação e necessidade de cada material;</w:t>
      </w:r>
    </w:p>
    <w:p>
      <w:pPr>
        <w:numPr>
          <w:ilvl w:val="0"/>
          <w:numId w:val="2"/>
        </w:numPr>
        <w:ind w:left="774" w:hanging="360"/>
        <w:spacing/>
        <w:jc w:val="both"/>
        <w:suppressAutoHyphens/>
        <w:hyphenationLines w:val="0"/>
        <w:rPr>
          <w:rFonts w:ascii="Cambria" w:hAnsi="Cambria" w:cs="Arial"/>
          <w:sz w:val="24"/>
          <w:szCs w:val="24"/>
          <w:lang w:eastAsia="zh-cn"/>
        </w:rPr>
      </w:pPr>
      <w:r>
        <w:rPr>
          <w:rFonts w:ascii="Cambria" w:hAnsi="Cambria" w:cs="Arial"/>
          <w:sz w:val="24"/>
          <w:szCs w:val="24"/>
          <w:lang w:eastAsia="zh-cn"/>
        </w:rPr>
        <w:t>Às normas internacionais consagradas, na falta das normas da ABNT;</w:t>
      </w:r>
    </w:p>
    <w:p>
      <w:pPr>
        <w:numPr>
          <w:ilvl w:val="0"/>
          <w:numId w:val="2"/>
        </w:numPr>
        <w:ind w:left="774" w:hanging="360"/>
        <w:spacing/>
        <w:jc w:val="both"/>
        <w:suppressAutoHyphens/>
        <w:hyphenationLines w:val="0"/>
        <w:rPr>
          <w:rFonts w:ascii="Cambria" w:hAnsi="Cambria" w:cs="Arial"/>
          <w:sz w:val="24"/>
          <w:szCs w:val="24"/>
          <w:lang w:eastAsia="zh-cn"/>
        </w:rPr>
      </w:pPr>
      <w:r>
        <w:rPr>
          <w:rFonts w:ascii="Cambria" w:hAnsi="Cambria" w:cs="Arial"/>
          <w:sz w:val="24"/>
          <w:szCs w:val="24"/>
          <w:lang w:eastAsia="zh-cn"/>
        </w:rPr>
        <w:t>Às prescrições e recomendações dos fabricantes;</w:t>
      </w:r>
    </w:p>
    <w:p>
      <w:pPr>
        <w:spacing/>
        <w:jc w:val="both"/>
        <w:suppressAutoHyphens/>
        <w:hyphenationLines w:val="0"/>
        <w:rPr>
          <w:rFonts w:ascii="Cambria" w:hAnsi="Cambria" w:cs="Arial"/>
          <w:sz w:val="24"/>
          <w:szCs w:val="24"/>
          <w:lang w:eastAsia="zh-cn"/>
        </w:rPr>
      </w:pPr>
      <w:r>
        <w:rPr>
          <w:rFonts w:ascii="Cambria" w:hAnsi="Cambria" w:cs="Arial"/>
          <w:b/>
          <w:sz w:val="24"/>
          <w:szCs w:val="24"/>
          <w:lang w:eastAsia="zh-cn"/>
        </w:rPr>
        <w:t>4.5</w:t>
      </w:r>
      <w:r>
        <w:rPr>
          <w:rFonts w:ascii="Cambria" w:hAnsi="Cambria" w:cs="Arial"/>
          <w:sz w:val="24"/>
          <w:szCs w:val="24"/>
          <w:lang w:eastAsia="zh-cn"/>
        </w:rPr>
        <w:t>. O material ofertado deverá ser novo e original, não se admitindo em hipótese alguma o fornecimento de alternativo, recondicionado ou recuperado, deverá estar adequadamente embalado de forma a preservar suas características originais.</w:t>
      </w:r>
    </w:p>
    <w:p>
      <w:pPr>
        <w:spacing/>
        <w:jc w:val="both"/>
        <w:suppressAutoHyphens/>
        <w:hyphenationLines w:val="0"/>
        <w:rPr>
          <w:rFonts w:ascii="Cambria" w:hAnsi="Cambria" w:cs="Arial"/>
          <w:sz w:val="24"/>
          <w:szCs w:val="24"/>
          <w:lang w:eastAsia="zh-cn"/>
        </w:rPr>
      </w:pPr>
      <w:r>
        <w:rPr>
          <w:rFonts w:ascii="Cambria" w:hAnsi="Cambria" w:cs="Arial"/>
          <w:b/>
          <w:sz w:val="24"/>
          <w:szCs w:val="24"/>
          <w:lang w:eastAsia="zh-cn"/>
        </w:rPr>
        <w:t>4.6.</w:t>
      </w:r>
      <w:r>
        <w:rPr>
          <w:rFonts w:ascii="Cambria" w:hAnsi="Cambria" w:cs="Arial"/>
          <w:sz w:val="24"/>
          <w:szCs w:val="24"/>
          <w:lang w:eastAsia="zh-cn"/>
        </w:rPr>
        <w:t xml:space="preserve"> O material deverá ser entregue em embalagem original, sem avarias, devendo ser identificado com informações precisas, corretas, claras, em língua portuguesa sobre suas características: qualidade, quantidade, composição, garantia, prazo de validade e origem.</w:t>
      </w:r>
    </w:p>
    <w:p>
      <w:pPr>
        <w:spacing/>
        <w:jc w:val="both"/>
        <w:suppressAutoHyphens/>
        <w:hyphenationLines w:val="0"/>
        <w:rPr>
          <w:rFonts w:ascii="Cambria" w:hAnsi="Cambria" w:cs="Arial"/>
          <w:sz w:val="24"/>
          <w:szCs w:val="24"/>
          <w:lang w:eastAsia="zh-cn"/>
        </w:rPr>
      </w:pPr>
      <w:r>
        <w:rPr>
          <w:rFonts w:ascii="Cambria" w:hAnsi="Cambria" w:cs="Arial"/>
          <w:b/>
          <w:sz w:val="24"/>
          <w:szCs w:val="24"/>
          <w:lang w:eastAsia="zh-cn"/>
        </w:rPr>
        <w:t>4.7</w:t>
      </w:r>
      <w:r>
        <w:rPr>
          <w:rFonts w:ascii="Cambria" w:hAnsi="Cambria" w:cs="Arial"/>
          <w:sz w:val="24"/>
          <w:szCs w:val="24"/>
          <w:lang w:eastAsia="zh-cn"/>
        </w:rPr>
        <w:t>. Será recusado material deteriorado, alterado, adulterado, avariado, corrompido, fraudado, bem como aquele em desacordo com a norma regulamentar de fabricação, distribuição e apresentação.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cs="Arial"/>
          <w:b/>
          <w:sz w:val="24"/>
          <w:szCs w:val="24"/>
          <w:lang w:eastAsia="zh-cn"/>
        </w:rPr>
        <w:t xml:space="preserve">4.8. </w:t>
      </w:r>
      <w:r>
        <w:rPr>
          <w:rFonts w:ascii="Cambria" w:hAnsi="Cambria" w:cs="Arial"/>
          <w:sz w:val="24"/>
          <w:szCs w:val="24"/>
          <w:lang w:eastAsia="zh-cn"/>
        </w:rPr>
        <w:t>Em hipótese alguma será aceito material recondicionado, remanufaturado, reciclado ou com alguma característica que venha a comprometer o seu uso e utilização por esta administração.</w:t>
      </w:r>
      <w:r>
        <w:rPr>
          <w:rFonts w:ascii="Cambria" w:hAnsi="Cambria" w:eastAsia="MS Minngs" w:cs="Arial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4.9.</w:t>
      </w:r>
      <w:r>
        <w:rPr>
          <w:rFonts w:ascii="Cambria" w:hAnsi="Cambria" w:eastAsia="MS Minngs" w:cs="Arial"/>
          <w:sz w:val="24"/>
          <w:szCs w:val="24"/>
        </w:rPr>
        <w:t xml:space="preserve"> Os materiais adquiridos se estiverem de acordo com as especificações do edital, da proposta e deste instrumento, será recebido: </w:t>
      </w:r>
    </w:p>
    <w:p>
      <w:pPr>
        <w:pStyle w:val="para1"/>
        <w:numPr>
          <w:ilvl w:val="0"/>
          <w:numId w:val="1"/>
        </w:numPr>
        <w:ind w:left="1428" w:hanging="360"/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sz w:val="24"/>
          <w:szCs w:val="24"/>
        </w:rPr>
        <w:t>Após verificação da qualidade e quantidade da mercadoria e conseqüente aceitação;</w:t>
      </w:r>
    </w:p>
    <w:p>
      <w:pPr>
        <w:pStyle w:val="para1"/>
        <w:numPr>
          <w:ilvl w:val="0"/>
          <w:numId w:val="1"/>
        </w:numPr>
        <w:ind w:left="1428" w:hanging="360"/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sz w:val="24"/>
          <w:szCs w:val="24"/>
        </w:rPr>
        <w:t>A aceitação do material, não exclui a responsabilidade civil, por vícios de forma, quantidade, qualidade ou técnicos ou por desacordo com as correspondentes especificações, verificadas posteriormente;</w:t>
      </w:r>
    </w:p>
    <w:p>
      <w:pPr>
        <w:pStyle w:val="para1"/>
        <w:numPr>
          <w:ilvl w:val="0"/>
          <w:numId w:val="1"/>
        </w:numPr>
        <w:ind w:left="1428" w:hanging="360"/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sz w:val="24"/>
          <w:szCs w:val="24"/>
        </w:rPr>
        <w:t>A mercadoria recusada será considerada como não entregue;</w:t>
      </w:r>
    </w:p>
    <w:p>
      <w:pPr>
        <w:pStyle w:val="para1"/>
        <w:numPr>
          <w:ilvl w:val="0"/>
          <w:numId w:val="1"/>
        </w:numPr>
        <w:ind w:left="1428" w:hanging="360"/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sz w:val="24"/>
          <w:szCs w:val="24"/>
        </w:rPr>
        <w:t>Os custos de retirada e devolução do material recusado, bem como quaisquer outras despesas decorrentes, correrão por conta da CONTRATADA.</w:t>
      </w:r>
    </w:p>
    <w:p>
      <w:pPr>
        <w:spacing/>
        <w:jc w:val="both"/>
        <w:suppressAutoHyphens/>
        <w:hyphenationLines w:val="0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4.10.</w:t>
      </w:r>
      <w:r>
        <w:rPr>
          <w:rFonts w:ascii="Cambria" w:hAnsi="Cambria" w:eastAsia="MS Minngs" w:cs="Arial"/>
          <w:sz w:val="24"/>
          <w:szCs w:val="24"/>
        </w:rPr>
        <w:t xml:space="preserve"> Nenhum material deverá ser entregue sem autorização do Setor de Compras,  responsabilizando-se a CONTRATADA pela entrega irregular.</w:t>
      </w:r>
    </w:p>
    <w:p>
      <w:pPr>
        <w:spacing/>
        <w:jc w:val="both"/>
        <w:suppressAutoHyphens/>
        <w:hyphenationLines w:val="0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</w:r>
    </w:p>
    <w:p>
      <w:pPr>
        <w:spacing/>
        <w:jc w:val="both"/>
        <w:suppressAutoHyphens/>
        <w:hyphenationLines w:val="0"/>
        <w:rPr>
          <w:rFonts w:ascii="Cambria" w:hAnsi="Cambria" w:cs="Arial"/>
          <w:sz w:val="24"/>
          <w:szCs w:val="24"/>
          <w:lang w:eastAsia="zh-cn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5. DA SUBSTITUIÇÃO DO(S) OBJETO(S)</w:t>
      </w:r>
      <w:r>
        <w:rPr>
          <w:rFonts w:ascii="Cambria" w:hAnsi="Cambria" w:cs="Arial"/>
          <w:sz w:val="24"/>
          <w:szCs w:val="24"/>
          <w:lang w:eastAsia="zh-cn"/>
        </w:rPr>
      </w:r>
    </w:p>
    <w:p>
      <w:pPr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 xml:space="preserve">5.1. </w:t>
      </w:r>
      <w:r>
        <w:rPr>
          <w:rFonts w:ascii="Cambria" w:hAnsi="Cambria" w:cs="Arial"/>
          <w:sz w:val="24"/>
          <w:szCs w:val="24"/>
        </w:rPr>
        <w:t xml:space="preserve">Constatado que o objeto recebido não atende as especificações estipuladas neste Termo de Referência, o órgão responsável pelo recebimento expedirá oficio à empresa vencedora, comunicando e justificando as razões da recusa, e ainda, notificando-a a efetuar o fornecimento do material em questão no prazo máximo de 05 (cinco) dias úteis, sendo que todas as despesas tais como: fretes, impostos, taxas, tributos, seguros e demais custos ou encargos fiscais previstos na legislação pertinente, bem como os constantes na legislação trabalhista, previdenciária, fiscal e civil decorrente, ocorrerão por conta da empresa vencedora dos materiais. </w:t>
      </w:r>
    </w:p>
    <w:p>
      <w:pPr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b/>
          <w:sz w:val="24"/>
          <w:szCs w:val="24"/>
        </w:rPr>
        <w:t>5.2.</w:t>
      </w:r>
      <w:r>
        <w:rPr>
          <w:rFonts w:ascii="Cambria" w:hAnsi="Cambria" w:cs="Arial"/>
          <w:sz w:val="24"/>
          <w:szCs w:val="24"/>
        </w:rPr>
        <w:t xml:space="preserve"> Decorrido o prazo estipulado na notificação, sem que tenha havido a troca do objeto recusado, o Fiscal do Contrato dará ciência ao Gestor das </w:t>
      </w:r>
      <w:r>
        <w:rPr>
          <w:rFonts w:ascii="Cambria" w:hAnsi="Cambria" w:eastAsia="MS Minngs" w:cs="Arial"/>
          <w:sz w:val="24"/>
          <w:szCs w:val="24"/>
        </w:rPr>
        <w:t>Secretarias Municipais</w:t>
      </w:r>
      <w:r>
        <w:rPr>
          <w:rFonts w:ascii="Cambria" w:hAnsi="Cambria" w:cs="Arial"/>
          <w:sz w:val="24"/>
          <w:szCs w:val="24"/>
        </w:rPr>
        <w:t>, através de Comunicação Interna, a fim de que se proceda à abertura de processo de penalidade contra a empresa, de acordo com as normas contidas na Lei 8.666/93 e alterações, para aplicação das penalidades previstas neste termo.</w:t>
      </w:r>
      <w:r>
        <w:rPr>
          <w:rFonts w:ascii="Cambria" w:hAnsi="Cambria" w:cs="Arial"/>
          <w:sz w:val="24"/>
          <w:szCs w:val="24"/>
        </w:rPr>
      </w:r>
    </w:p>
    <w:p>
      <w:pPr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6. DAS OBRIGAÇÕES E RESPONSABILIDADES DA CONTRATADA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6.1.</w:t>
      </w:r>
      <w:r>
        <w:rPr>
          <w:rFonts w:ascii="Cambria" w:hAnsi="Cambria" w:eastAsia="MS Minngs" w:cs="Arial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</w:rPr>
        <w:t xml:space="preserve">Fornecer o objeto de acordo com as especificações e quantitativos </w:t>
      </w:r>
      <w:r>
        <w:rPr>
          <w:rFonts w:ascii="Cambria" w:hAnsi="Cambria" w:eastAsia="MS Minngs" w:cs="Arial"/>
          <w:sz w:val="24"/>
          <w:szCs w:val="24"/>
        </w:rPr>
        <w:t>em conformidade com as condições deste instrumento,</w:t>
      </w:r>
      <w:r>
        <w:rPr>
          <w:rFonts w:ascii="Cambria" w:hAnsi="Cambria" w:cs="Arial"/>
          <w:sz w:val="24"/>
          <w:szCs w:val="24"/>
        </w:rPr>
        <w:t xml:space="preserve"> obrigando-se a substituir aquele(s) não achado(s) conforme(s) pela CONTRATANTE;</w:t>
      </w:r>
      <w:r>
        <w:rPr>
          <w:rFonts w:ascii="Cambria" w:hAnsi="Cambria" w:eastAsia="MS Minngs" w:cs="Arial"/>
          <w:sz w:val="24"/>
          <w:szCs w:val="24"/>
        </w:rPr>
      </w:r>
    </w:p>
    <w:p>
      <w:pPr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6.2.</w:t>
      </w:r>
      <w:r>
        <w:rPr>
          <w:rFonts w:ascii="Cambria" w:hAnsi="Cambria" w:eastAsia="MS Minngs" w:cs="Arial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</w:rPr>
        <w:t>Pagar todos os tributos que, direta ou indiretamente, incidam sobre o fornecimento do objeto, inclusive as contribuições previdenciárias fiscais e parafiscais, FGTS, PIS, emolumentos, seguros de acidentes de trabalho etc., ficando excluída qualquer solidariedade da CONTRATANTE por eventuais autuações administrativas e/ou judiciais uma vez que a inadimplência da CONTRATADA, com referência às suas obrigações, não se transfere à CONTRATANTE;</w:t>
      </w:r>
      <w:r>
        <w:rPr>
          <w:rFonts w:ascii="Cambria" w:hAnsi="Cambria" w:cs="Arial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cs="Arial"/>
          <w:b/>
          <w:sz w:val="24"/>
          <w:szCs w:val="24"/>
        </w:rPr>
        <w:t>6.3.</w:t>
      </w:r>
      <w:r>
        <w:rPr>
          <w:rFonts w:ascii="Cambria" w:hAnsi="Cambria" w:cs="Arial"/>
          <w:sz w:val="24"/>
          <w:szCs w:val="24"/>
        </w:rPr>
        <w:t xml:space="preserve"> Arcar com eventuais prejuízos causados à CONTRATANTE e/ou a terceiros, provocados por ineficiência ou irregularidade cometida por seus empregados ou prepostos envolvidos na execução do contrato que não terão nenhum vínculo empregatício com a administração;</w:t>
      </w:r>
      <w:r>
        <w:rPr>
          <w:rFonts w:ascii="Cambria" w:hAnsi="Cambria" w:eastAsia="MS Minngs" w:cs="Arial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6.4.</w:t>
      </w:r>
      <w:r>
        <w:rPr>
          <w:rFonts w:ascii="Cambria" w:hAnsi="Cambria" w:eastAsia="MS Minngs" w:cs="Arial"/>
          <w:sz w:val="24"/>
          <w:szCs w:val="24"/>
        </w:rPr>
        <w:t xml:space="preserve"> Manter durante toda execução do contrato, em compatibilidade com as obrigações por ele assumidas, todas as condições de habilitação e qualificação exigidas na licitação;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6.5.</w:t>
      </w:r>
      <w:r>
        <w:rPr>
          <w:rFonts w:ascii="Cambria" w:hAnsi="Cambria" w:eastAsia="MS Minngs" w:cs="Arial"/>
          <w:sz w:val="24"/>
          <w:szCs w:val="24"/>
        </w:rPr>
        <w:t xml:space="preserve"> Fornecer o objeto obedecendo às quantidades requisitadas, qualidade, horários, prazos e locais estabelecidos para a entrega;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cs="Arial"/>
          <w:b/>
          <w:sz w:val="24"/>
          <w:szCs w:val="24"/>
        </w:rPr>
        <w:t>6.6.</w:t>
      </w:r>
      <w:r>
        <w:rPr>
          <w:rFonts w:ascii="Cambria" w:hAnsi="Cambria" w:cs="Arial"/>
          <w:sz w:val="24"/>
          <w:szCs w:val="24"/>
        </w:rPr>
        <w:t xml:space="preserve"> Facilitar a ação da FISCALIZAÇÃO no fornecimento do objeto, prestando, prontamente, os esclarecimentos que forem solicitados pela CONTRATANTE;</w:t>
      </w:r>
      <w:r>
        <w:rPr>
          <w:rFonts w:ascii="Cambria" w:hAnsi="Cambria" w:eastAsia="MS Minngs" w:cs="Arial"/>
          <w:sz w:val="24"/>
          <w:szCs w:val="24"/>
        </w:rPr>
      </w:r>
    </w:p>
    <w:p>
      <w:pPr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b/>
          <w:sz w:val="24"/>
          <w:szCs w:val="24"/>
        </w:rPr>
        <w:t>6.7.</w:t>
      </w:r>
      <w:r>
        <w:rPr>
          <w:rFonts w:ascii="Cambria" w:hAnsi="Cambria" w:cs="Arial"/>
          <w:sz w:val="24"/>
          <w:szCs w:val="24"/>
        </w:rPr>
        <w:t xml:space="preserve"> Aceitar nas mesmas condições contratuais, os acréscimos ou supressões que se fizerem necessários, nos termos do artigo 65 da Lei n.º 8.666/93.</w:t>
      </w:r>
    </w:p>
    <w:p>
      <w:pPr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7. DAS OBRIGAÇÕES E RESPONSABILIDADES DO CONTRATANTE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7.1.</w:t>
      </w:r>
      <w:r>
        <w:rPr>
          <w:rFonts w:ascii="Cambria" w:hAnsi="Cambria" w:eastAsia="MS Minngs" w:cs="Arial"/>
          <w:sz w:val="24"/>
          <w:szCs w:val="24"/>
        </w:rPr>
        <w:t xml:space="preserve"> Acompanhar, fiscalizar, conferir, avaliar a entrega do material e as obrigações da CONTRATADA.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7.2.</w:t>
      </w:r>
      <w:r>
        <w:rPr>
          <w:rFonts w:ascii="Cambria" w:hAnsi="Cambria" w:eastAsia="MS Minngs" w:cs="Arial"/>
          <w:sz w:val="24"/>
          <w:szCs w:val="24"/>
        </w:rPr>
        <w:t xml:space="preserve"> Rejeitar, no todo ou em parte, o material que estiver em desacordo com as obrigações assumidas pela CONTRATADA.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7.3.</w:t>
      </w:r>
      <w:r>
        <w:rPr>
          <w:rFonts w:ascii="Cambria" w:hAnsi="Cambria" w:eastAsia="MS Minngs" w:cs="Arial"/>
          <w:sz w:val="24"/>
          <w:szCs w:val="24"/>
        </w:rPr>
        <w:t xml:space="preserve"> Prestar as informações e os esclarecimentos que venham a ser solicitados pela CONTRATADA.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7.4.</w:t>
      </w:r>
      <w:r>
        <w:rPr>
          <w:rFonts w:ascii="Cambria" w:hAnsi="Cambria" w:eastAsia="MS Minngs" w:cs="Arial"/>
          <w:sz w:val="24"/>
          <w:szCs w:val="24"/>
        </w:rPr>
        <w:t xml:space="preserve"> Efetuar o pagamento à CONTRATADA no prazo avençado, após a entrega da Nota Fiscal no setor competente.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7.5.</w:t>
      </w:r>
      <w:r>
        <w:rPr>
          <w:rFonts w:ascii="Cambria" w:hAnsi="Cambria" w:eastAsia="MS Minngs" w:cs="Arial"/>
          <w:sz w:val="24"/>
          <w:szCs w:val="24"/>
        </w:rPr>
        <w:t xml:space="preserve"> Notificar a CONTRATADA, por escrito, sobre imperfeições, falhas ou irregularidades constatadas no material recebido, para que sejam corrigidos.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sz w:val="24"/>
          <w:szCs w:val="24"/>
        </w:rPr>
      </w:r>
    </w:p>
    <w:p>
      <w:pPr>
        <w:spacing/>
        <w:jc w:val="both"/>
        <w:tabs defTabSz="708">
          <w:tab w:val="left" w:pos="567" w:leader="none"/>
        </w:tabs>
        <w:rPr>
          <w:rFonts w:ascii="Cambria" w:hAnsi="Cambria" w:cs="Cambria"/>
          <w:b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>8. DAS CONDIÇÕES ESPECIAIS PARA O FORNECIMENTO</w:t>
      </w:r>
    </w:p>
    <w:p>
      <w:pPr>
        <w:spacing/>
        <w:jc w:val="both"/>
        <w:tabs defTabSz="708">
          <w:tab w:val="left" w:pos="567" w:leader="none"/>
        </w:tabs>
        <w:rPr>
          <w:rFonts w:ascii="Cambria" w:hAnsi="Cambria" w:cs="Cambria"/>
          <w:b/>
          <w:sz w:val="24"/>
          <w:szCs w:val="24"/>
        </w:rPr>
      </w:pPr>
      <w:r>
        <w:rPr>
          <w:rFonts w:ascii="Cambria" w:hAnsi="Cambria" w:cs="Cambria"/>
          <w:b/>
          <w:sz w:val="24"/>
          <w:szCs w:val="24"/>
        </w:rPr>
        <w:t>8.1. DAS AMOSTRAS</w:t>
      </w:r>
    </w:p>
    <w:p>
      <w:pPr>
        <w:pStyle w:val="para2"/>
        <w:tabs defTabSz="708">
          <w:tab w:val="left" w:pos="0" w:leader="none"/>
          <w:tab w:val="left" w:pos="567" w:leader="none"/>
          <w:tab w:val="clear" w:pos="2496" w:leader="none"/>
        </w:tabs>
        <w:rPr>
          <w:rFonts w:ascii="Cambria" w:hAnsi="Cambria" w:cs="Cambria"/>
          <w:szCs w:val="24"/>
          <w:lang w:val="pt-br"/>
        </w:rPr>
      </w:pPr>
      <w:r>
        <w:rPr>
          <w:rFonts w:ascii="Cambria" w:hAnsi="Cambria" w:cs="Cambria"/>
          <w:b/>
          <w:szCs w:val="24"/>
          <w:lang w:val="pt-br"/>
        </w:rPr>
        <w:t>8.1. 1.</w:t>
      </w:r>
      <w:r>
        <w:rPr>
          <w:rFonts w:ascii="Cambria" w:hAnsi="Cambria" w:cs="Cambria"/>
          <w:szCs w:val="24"/>
          <w:lang w:val="pt-br"/>
        </w:rPr>
        <w:t xml:space="preserve">  A(s) empresa(s) declarada(s) vencedora(s) deverá encaminhar amostras de todos os produtos no prazo máximo de até </w:t>
      </w:r>
      <w:r>
        <w:rPr>
          <w:rFonts w:ascii="Cambria" w:hAnsi="Cambria" w:cs="Cambria"/>
          <w:b/>
          <w:color w:val="000000"/>
          <w:szCs w:val="24"/>
          <w:lang w:val="pt-br"/>
        </w:rPr>
        <w:t>07</w:t>
      </w:r>
      <w:r>
        <w:rPr>
          <w:rFonts w:ascii="Cambria" w:hAnsi="Cambria" w:cs="Cambria"/>
          <w:b/>
          <w:szCs w:val="24"/>
          <w:lang w:val="pt-br"/>
        </w:rPr>
        <w:t xml:space="preserve"> (sete dias) úteis</w:t>
      </w:r>
      <w:r>
        <w:rPr>
          <w:rFonts w:ascii="Cambria" w:hAnsi="Cambria" w:cs="Cambria"/>
          <w:szCs w:val="24"/>
          <w:lang w:val="pt-br"/>
        </w:rPr>
        <w:t>, contados a partir do encerramento da licitação.</w:t>
      </w:r>
      <w:r>
        <w:rPr>
          <w:rFonts w:ascii="Cambria" w:hAnsi="Cambria" w:cs="Cambria"/>
          <w:szCs w:val="24"/>
          <w:lang w:val="pt-br"/>
        </w:rPr>
      </w:r>
    </w:p>
    <w:p>
      <w:pPr>
        <w:pStyle w:val="para2"/>
        <w:tabs defTabSz="708">
          <w:tab w:val="left" w:pos="0" w:leader="none"/>
          <w:tab w:val="left" w:pos="567" w:leader="none"/>
          <w:tab w:val="clear" w:pos="2496" w:leader="none"/>
        </w:tabs>
        <w:rPr>
          <w:rFonts w:ascii="Cambria" w:hAnsi="Cambria" w:cs="Cambria"/>
          <w:szCs w:val="24"/>
          <w:lang w:val="pt-br"/>
        </w:rPr>
      </w:pPr>
      <w:r>
        <w:rPr>
          <w:rFonts w:ascii="Cambria" w:hAnsi="Cambria" w:cs="Cambria"/>
          <w:b/>
          <w:szCs w:val="24"/>
          <w:lang w:val="pt-br"/>
        </w:rPr>
        <w:t>8.1.2.</w:t>
      </w:r>
      <w:r>
        <w:rPr>
          <w:rFonts w:ascii="Cambria" w:hAnsi="Cambria" w:cs="Cambria"/>
          <w:szCs w:val="24"/>
          <w:lang w:val="pt-br"/>
        </w:rPr>
        <w:t xml:space="preserve"> As amostras visam a assegurar a qualidade mínima dos produtos e sua adequação às especificações contidas neste Termo de Referência.</w:t>
      </w:r>
    </w:p>
    <w:p>
      <w:pPr>
        <w:pStyle w:val="para2"/>
        <w:tabs defTabSz="708">
          <w:tab w:val="left" w:pos="0" w:leader="none"/>
          <w:tab w:val="left" w:pos="567" w:leader="none"/>
          <w:tab w:val="clear" w:pos="2496" w:leader="none"/>
        </w:tabs>
        <w:rPr>
          <w:rFonts w:ascii="Cambria" w:hAnsi="Cambria" w:cs="Cambria"/>
          <w:szCs w:val="24"/>
          <w:lang w:val="pt-br"/>
        </w:rPr>
      </w:pPr>
      <w:r>
        <w:rPr>
          <w:rFonts w:ascii="Cambria" w:hAnsi="Cambria" w:cs="Cambria"/>
          <w:b/>
          <w:szCs w:val="24"/>
          <w:lang w:val="pt-br"/>
        </w:rPr>
        <w:t>8.1.3.</w:t>
      </w:r>
      <w:r>
        <w:rPr>
          <w:rFonts w:ascii="Cambria" w:hAnsi="Cambria" w:cs="Cambria"/>
          <w:szCs w:val="24"/>
          <w:lang w:val="pt-br"/>
        </w:rPr>
        <w:t xml:space="preserve"> As amostras deverão conter o nome da empresa, número do Pregão e número do item e serem encaminhadas para inspeção no Almoxarifado da prefeitura, localizado na Rod. Gether Lopes de Farias, s/n, no Bairro Emilio Calegari/SDN, CEP 29745-000 – Telefones: (27) 3742 0200 - no horário das 07 às 16h, (de 2ª a 5ª feira) e de 07 às 11h00min (6ª feira).</w:t>
      </w:r>
    </w:p>
    <w:p>
      <w:pPr>
        <w:pStyle w:val="para2"/>
        <w:tabs defTabSz="708">
          <w:tab w:val="left" w:pos="0" w:leader="none"/>
          <w:tab w:val="left" w:pos="567" w:leader="none"/>
          <w:tab w:val="clear" w:pos="2496" w:leader="none"/>
        </w:tabs>
        <w:rPr>
          <w:rFonts w:ascii="Cambria" w:hAnsi="Cambria" w:cs="Cambria"/>
          <w:szCs w:val="24"/>
          <w:lang w:val="pt-br"/>
        </w:rPr>
      </w:pPr>
      <w:r>
        <w:rPr>
          <w:rFonts w:ascii="Cambria" w:hAnsi="Cambria" w:cs="Cambria"/>
          <w:b/>
          <w:szCs w:val="24"/>
          <w:lang w:val="pt-br"/>
        </w:rPr>
        <w:t>8.1.4.</w:t>
      </w:r>
      <w:r>
        <w:rPr>
          <w:rFonts w:ascii="Cambria" w:hAnsi="Cambria" w:cs="Cambria"/>
          <w:szCs w:val="24"/>
          <w:lang w:val="pt-br"/>
        </w:rPr>
        <w:t xml:space="preserve"> Nenhuma amostra será recebida fora do local, horário e/ou período aqui estipulados.</w:t>
      </w:r>
    </w:p>
    <w:p>
      <w:pPr>
        <w:pStyle w:val="para2"/>
        <w:tabs defTabSz="708">
          <w:tab w:val="left" w:pos="0" w:leader="none"/>
          <w:tab w:val="left" w:pos="567" w:leader="none"/>
          <w:tab w:val="clear" w:pos="2496" w:leader="none"/>
        </w:tabs>
        <w:rPr>
          <w:rFonts w:ascii="Cambria" w:hAnsi="Cambria" w:cs="Cambria"/>
          <w:szCs w:val="24"/>
          <w:lang w:val="pt-br"/>
        </w:rPr>
      </w:pPr>
      <w:r>
        <w:rPr>
          <w:rFonts w:ascii="Cambria" w:hAnsi="Cambria" w:cs="Cambria"/>
          <w:b/>
          <w:szCs w:val="24"/>
          <w:lang w:val="pt-br"/>
        </w:rPr>
        <w:t>8.1.5.</w:t>
      </w:r>
      <w:r>
        <w:rPr>
          <w:rFonts w:ascii="Cambria" w:hAnsi="Cambria" w:cs="Cambria"/>
          <w:szCs w:val="24"/>
          <w:lang w:val="pt-br"/>
        </w:rPr>
        <w:t xml:space="preserve"> Os produtos deverão ser confeccionados de acordo com o(s) modelo(s) individual(is) contidos nos </w:t>
      </w:r>
      <w:r>
        <w:rPr>
          <w:rFonts w:ascii="Cambria" w:hAnsi="Cambria" w:cs="Cambria"/>
          <w:b/>
          <w:szCs w:val="24"/>
          <w:lang w:val="pt-br"/>
        </w:rPr>
        <w:t xml:space="preserve">Anexos  </w:t>
      </w:r>
      <w:r>
        <w:rPr>
          <w:rFonts w:ascii="Cambria" w:hAnsi="Cambria" w:cs="Cambria"/>
          <w:szCs w:val="24"/>
          <w:lang w:val="pt-br"/>
        </w:rPr>
        <w:t>deste Termo de Referência e/ou de acordo com as campanhas que serão realizadas no decorrer do ano.</w:t>
      </w:r>
      <w:r>
        <w:rPr>
          <w:rFonts w:ascii="Cambria" w:hAnsi="Cambria" w:cs="Cambria"/>
          <w:szCs w:val="24"/>
          <w:lang w:val="pt-br"/>
        </w:rPr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9. DA VIGÊNCIA DO CONTRATO</w:t>
      </w:r>
    </w:p>
    <w:p>
      <w:pPr>
        <w:spacing/>
        <w:jc w:val="both"/>
        <w:rPr>
          <w:rFonts w:ascii="Cambria" w:hAnsi="Cambria" w:eastAsia="MS Minngs" w:cs="Arial"/>
          <w:bCs/>
          <w:sz w:val="24"/>
          <w:szCs w:val="24"/>
        </w:rPr>
      </w:pPr>
      <w:r>
        <w:rPr>
          <w:rFonts w:ascii="Cambria" w:hAnsi="Cambria" w:eastAsia="MS Minngs" w:cs="Arial"/>
          <w:b/>
          <w:bCs/>
          <w:sz w:val="24"/>
          <w:szCs w:val="24"/>
        </w:rPr>
        <w:t xml:space="preserve">9.1. </w:t>
      </w:r>
      <w:r>
        <w:rPr>
          <w:rFonts w:ascii="Cambria" w:hAnsi="Cambria" w:eastAsia="MS Minngs" w:cs="Arial"/>
          <w:bCs/>
          <w:sz w:val="24"/>
          <w:szCs w:val="24"/>
        </w:rPr>
        <w:t>O contrato terá vigência durante 12 meses, a contar da ordem de serviço.</w:t>
      </w:r>
    </w:p>
    <w:p>
      <w:pPr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10. DA RESPONSABILIDADE PELA FISCALIZAÇÃO</w:t>
      </w:r>
    </w:p>
    <w:p>
      <w:pPr>
        <w:spacing/>
        <w:jc w:val="both"/>
        <w:rPr>
          <w:rFonts w:ascii="Cambria" w:hAnsi="Cambria" w:eastAsia="MS Minngs" w:cs="Arial"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10.1.</w:t>
      </w:r>
      <w:r>
        <w:rPr>
          <w:rFonts w:ascii="Cambria" w:hAnsi="Cambria" w:eastAsia="MS Minngs" w:cs="Arial"/>
          <w:sz w:val="24"/>
          <w:szCs w:val="24"/>
        </w:rPr>
        <w:t xml:space="preserve"> </w:t>
      </w:r>
      <w:r>
        <w:rPr>
          <w:rFonts w:ascii="Cambria" w:hAnsi="Cambria" w:eastAsia="MS Minngs" w:cs="Arial"/>
          <w:color w:val="000000"/>
          <w:sz w:val="24"/>
          <w:szCs w:val="24"/>
        </w:rPr>
        <w:t xml:space="preserve">A fiscalização da execução do objeto será exercida pelo Fiscal de Contrato indicado por cada Secretaria Municipal do Município de São Domingos do Norte/ES, </w:t>
      </w:r>
      <w:r>
        <w:rPr>
          <w:rFonts w:ascii="Cambria" w:hAnsi="Cambria" w:cs="Cambria"/>
          <w:color w:val="000000"/>
          <w:sz w:val="24"/>
          <w:szCs w:val="24"/>
        </w:rPr>
        <w:t xml:space="preserve">a ser nomeado a partir da data de assinatura do contrato, </w:t>
      </w:r>
      <w:r>
        <w:rPr>
          <w:rFonts w:ascii="Cambria" w:hAnsi="Cambria" w:eastAsia="MS Minngs" w:cs="Arial"/>
          <w:color w:val="000000"/>
          <w:sz w:val="24"/>
          <w:szCs w:val="24"/>
        </w:rPr>
        <w:t>no qual as suas atribuições competirá em dirimir dúvidas que surgirem no curso do fornecimento dos materiais e cumprimento do contrato.</w:t>
      </w:r>
      <w:r>
        <w:rPr>
          <w:rFonts w:ascii="Cambria" w:hAnsi="Cambria" w:eastAsia="MS Minngs" w:cs="Arial"/>
          <w:color w:val="000000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color w:val="000000"/>
          <w:sz w:val="24"/>
          <w:szCs w:val="24"/>
        </w:rPr>
      </w:pPr>
      <w:r>
        <w:rPr>
          <w:rFonts w:ascii="Cambria" w:hAnsi="Cambria" w:eastAsia="MS Minngs" w:cs="Arial"/>
          <w:color w:val="000000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11. DA FORMA DE PAGAMENTO</w:t>
      </w:r>
    </w:p>
    <w:p>
      <w:pPr>
        <w:spacing/>
        <w:jc w:val="both"/>
        <w:tabs defTabSz="708">
          <w:tab w:val="left" w:pos="567" w:leader="none"/>
          <w:tab w:val="left" w:pos="709" w:leader="none"/>
        </w:tabs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11.1.</w:t>
      </w:r>
      <w:r>
        <w:rPr>
          <w:rFonts w:ascii="Cambria" w:hAnsi="Cambria" w:eastAsia="MS Minngs" w:cs="Arial"/>
          <w:sz w:val="24"/>
          <w:szCs w:val="24"/>
        </w:rPr>
        <w:t xml:space="preserve"> O pagamento à CONTRATADA será efetuado de forma parcelada à medida que a necessidade for sendo suprida, contados da data de apresentação da Nota Fiscal/Fatura discriminativa, que serão atestados pelo Setor Competente.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b/>
          <w:sz w:val="24"/>
          <w:szCs w:val="24"/>
        </w:rPr>
        <w:t>11.2.</w:t>
      </w:r>
      <w:r>
        <w:rPr>
          <w:rFonts w:ascii="Cambria" w:hAnsi="Cambria" w:eastAsia="MS Minngs" w:cs="Arial"/>
          <w:sz w:val="24"/>
          <w:szCs w:val="24"/>
        </w:rPr>
        <w:t xml:space="preserve"> O pagamento será efetuado através de crédito bancário, em até 30 (trinta) dias úteis, onde o CONTRATANTE poderá deduzir do montante a pagar os valores correspondentes as multas ou indenizações devidas pela CONTRATADA.</w:t>
      </w:r>
    </w:p>
    <w:p>
      <w:pPr>
        <w:spacing/>
        <w:jc w:val="both"/>
        <w:rPr>
          <w:rFonts w:ascii="Cambria" w:hAnsi="Cambria" w:eastAsia="MS Minngs" w:cs="Arial"/>
          <w:sz w:val="24"/>
          <w:szCs w:val="24"/>
        </w:rPr>
      </w:pPr>
      <w:r>
        <w:rPr>
          <w:rFonts w:ascii="Cambria" w:hAnsi="Cambria" w:eastAsia="MS Minngs" w:cs="Arial"/>
          <w:sz w:val="24"/>
          <w:szCs w:val="24"/>
        </w:rPr>
      </w:r>
    </w:p>
    <w:p>
      <w:pPr>
        <w:spacing/>
        <w:jc w:val="both"/>
        <w:rPr>
          <w:rFonts w:ascii="Cambria" w:hAnsi="Cambria" w:eastAsia="MS Minngs" w:cs="Arial"/>
          <w:b/>
          <w:bCs/>
          <w:color w:val="000000"/>
          <w:sz w:val="24"/>
          <w:szCs w:val="24"/>
        </w:rPr>
      </w:pPr>
      <w:r>
        <w:rPr>
          <w:rFonts w:ascii="Cambria" w:hAnsi="Cambria" w:eastAsia="MS Minngs" w:cs="Arial"/>
          <w:b/>
          <w:bCs/>
          <w:color w:val="000000"/>
          <w:sz w:val="24"/>
          <w:szCs w:val="24"/>
        </w:rPr>
        <w:t>12. DA DOTAÇÃO ORÇAMENTÁRIA:</w:t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1-SECRETARIA MUNICIPAL DO TRABALHO E ASSISTENCIA SOCIAL: 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*SEMTADES - 279 - </w:t>
      </w:r>
      <w:r>
        <w:rPr>
          <w:rFonts w:ascii="Arial" w:hAnsi="Arial" w:cs="Arial"/>
          <w:color w:val="000000"/>
          <w:sz w:val="20"/>
          <w:szCs w:val="20"/>
        </w:rPr>
        <w:t>100100100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*CRAS – 343 - </w:t>
      </w:r>
      <w:r>
        <w:rPr>
          <w:rFonts w:ascii="Arial" w:hAnsi="Arial" w:cs="Arial"/>
          <w:color w:val="000000"/>
          <w:sz w:val="20"/>
          <w:szCs w:val="20"/>
        </w:rPr>
        <w:t>1390001000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*TERCEIRA IDADE – 305-</w:t>
      </w:r>
      <w:r>
        <w:rPr>
          <w:rFonts w:ascii="Arial" w:hAnsi="Arial" w:cs="Arial"/>
          <w:color w:val="000000"/>
          <w:sz w:val="20"/>
          <w:szCs w:val="20"/>
        </w:rPr>
        <w:t>100100100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*CONSELHO TUTELAR – 373-</w:t>
      </w:r>
      <w:r>
        <w:rPr>
          <w:rFonts w:ascii="Arial" w:hAnsi="Arial" w:cs="Arial"/>
          <w:color w:val="000000"/>
          <w:sz w:val="20"/>
          <w:szCs w:val="20"/>
        </w:rPr>
        <w:t>100100100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*PROJETOS DO FIA – 367- 139000900</w:t>
      </w:r>
    </w:p>
    <w:p>
      <w:pPr>
        <w:pStyle w:val="para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*CREA – 332-139000100</w:t>
      </w:r>
    </w:p>
    <w:p>
      <w:pPr>
        <w:pStyle w:val="para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2-SECRETARIA MUNICIPAL DE MEIO AMBIENTE: 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*SEMAM - 498-</w:t>
      </w:r>
      <w:r>
        <w:rPr>
          <w:rFonts w:ascii="Arial" w:hAnsi="Arial" w:cs="Arial"/>
          <w:color w:val="000000"/>
          <w:sz w:val="20"/>
          <w:szCs w:val="20"/>
        </w:rPr>
        <w:t>100100100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3- GABINETE DO PREFEITO 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*GABINETE – 04-</w:t>
      </w:r>
      <w:r>
        <w:rPr>
          <w:rFonts w:ascii="Arial" w:hAnsi="Arial" w:cs="Arial"/>
          <w:color w:val="000000"/>
          <w:sz w:val="20"/>
          <w:szCs w:val="20"/>
        </w:rPr>
        <w:t>100100100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*JUNTA MILITAR– 019-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*NOSSO CRÉDITO– 033-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4- SECRETARIA MUNICIPAL DE AGRICULTURA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*SEMAG – 382-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5-SECRETARIA MUNICIPAL DE OBRAS E SERVIÇOS URBANOS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*SEMUR -452-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6-PROCURADORIA GERAL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*PROGER – 061-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7- SECRETARIA MUNICIPAL DA FAZENDA: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*CONTABILIDADE/ TESOURATIA – 0577-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*TESOURARIA – </w:t>
      </w:r>
      <w:r>
        <w:rPr>
          <w:rFonts w:ascii="Arial" w:hAnsi="Arial" w:cs="Arial"/>
          <w:sz w:val="20"/>
          <w:szCs w:val="20"/>
        </w:rPr>
        <w:t>0577-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*NAC – </w:t>
      </w:r>
      <w:r>
        <w:rPr>
          <w:rFonts w:ascii="Arial" w:hAnsi="Arial" w:cs="Arial"/>
          <w:sz w:val="20"/>
          <w:szCs w:val="20"/>
        </w:rPr>
        <w:t>0597-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*TRUBUTAÇÃO -  </w:t>
      </w:r>
      <w:r>
        <w:rPr>
          <w:rFonts w:ascii="Arial" w:hAnsi="Arial" w:cs="Arial"/>
          <w:sz w:val="20"/>
          <w:szCs w:val="20"/>
        </w:rPr>
        <w:t>0597-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8- SECRETARIA MUNICIPAL DE ADMINISTRAÇÃO E RECURSOS HUMANOS: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*RECURSOS HUMANOS E SETOR ADMINISTRATIVO – 0545-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*</w:t>
      </w:r>
      <w:r>
        <w:rPr>
          <w:rFonts w:ascii="Arial" w:hAnsi="Arial" w:cs="Arial"/>
          <w:sz w:val="20"/>
          <w:szCs w:val="20"/>
        </w:rPr>
        <w:t>SETOR DE COMPRAS/LICITAÇÃO - 0537-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9- SECRETARIA MUNICIPAL DE CONTROLE INTERNO E TRANSPARÊNCIA.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*SECONT - </w:t>
      </w:r>
      <w:r>
        <w:rPr>
          <w:rFonts w:ascii="Arial" w:hAnsi="Arial" w:cs="Arial"/>
          <w:sz w:val="20"/>
          <w:szCs w:val="20"/>
        </w:rPr>
        <w:t>074-</w:t>
      </w:r>
      <w:r>
        <w:rPr>
          <w:rFonts w:ascii="Arial" w:hAnsi="Arial" w:cs="Arial"/>
          <w:color w:val="000000"/>
          <w:sz w:val="20"/>
          <w:szCs w:val="20"/>
        </w:rPr>
        <w:t>1001001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10-SECRETARIA MUNICIPAL DE EDUCAÇÃO E CULTURA:                                                                                       </w:t>
      </w:r>
      <w:r>
        <w:rPr>
          <w:rFonts w:ascii="Arial" w:hAnsi="Arial" w:cs="Arial"/>
          <w:color w:val="000000"/>
          <w:sz w:val="20"/>
          <w:szCs w:val="20"/>
        </w:rPr>
      </w:r>
    </w:p>
    <w:p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*SEMEC – 93 - 10010001</w:t>
      </w:r>
    </w:p>
    <w:p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*ENSINO FUNDAMENTAL - 0120-112000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*CEMEI VOVÓ ZEZÉ - 0175-112000</w:t>
      </w:r>
    </w:p>
    <w:p>
      <w:pPr>
        <w:pStyle w:val="para1"/>
        <w:ind w:left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*EDUCAÇÃO INFANTIL- PRE ESCOLA - 0187-112000</w:t>
      </w:r>
    </w:p>
    <w:p>
      <w:pPr>
        <w:ind w:right="-23"/>
        <w:spacing/>
        <w:jc w:val="both"/>
        <w:rPr>
          <w:rFonts w:ascii="Cambria" w:hAnsi="Cambria" w:eastAsia="Arial" w:cs="Arial"/>
          <w:bCs/>
          <w:sz w:val="24"/>
          <w:szCs w:val="24"/>
        </w:rPr>
      </w:pPr>
      <w:r>
        <w:rPr>
          <w:rFonts w:ascii="Cambria" w:hAnsi="Cambria" w:eastAsia="Arial" w:cs="Arial"/>
          <w:bCs/>
          <w:sz w:val="24"/>
          <w:szCs w:val="24"/>
        </w:rPr>
        <w:t>*DEPARTAMENTO DE ESPORTES – 226-10010001</w:t>
      </w:r>
    </w:p>
    <w:p>
      <w:pPr>
        <w:ind w:right="-23"/>
        <w:spacing/>
        <w:jc w:val="both"/>
        <w:rPr>
          <w:rFonts w:ascii="Cambria" w:hAnsi="Cambria" w:eastAsia="Arial" w:cs="Arial"/>
          <w:bCs/>
          <w:sz w:val="24"/>
          <w:szCs w:val="24"/>
        </w:rPr>
      </w:pPr>
      <w:r>
        <w:rPr>
          <w:rFonts w:ascii="Cambria" w:hAnsi="Cambria" w:eastAsia="Arial" w:cs="Arial"/>
          <w:bCs/>
          <w:sz w:val="24"/>
          <w:szCs w:val="24"/>
        </w:rPr>
      </w:r>
    </w:p>
    <w:p>
      <w:pPr>
        <w:ind w:right="-23"/>
        <w:spacing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eastAsia="Arial" w:cs="Arial"/>
          <w:b/>
          <w:bCs/>
          <w:sz w:val="24"/>
          <w:szCs w:val="24"/>
        </w:rPr>
        <w:t>13. LEGISLAÇÃO, NORMAS E REGULAMENTOS:</w:t>
      </w:r>
      <w:r>
        <w:rPr>
          <w:rFonts w:ascii="Cambria" w:hAnsi="Cambria" w:cs="Cambria"/>
          <w:sz w:val="24"/>
          <w:szCs w:val="24"/>
        </w:rPr>
      </w:r>
    </w:p>
    <w:p>
      <w:pPr>
        <w:ind w:right="-23"/>
        <w:spacing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 w:eastAsia="Arial" w:cs="Arial"/>
          <w:b/>
          <w:sz w:val="24"/>
          <w:szCs w:val="24"/>
        </w:rPr>
        <w:t>13.1.</w:t>
      </w:r>
      <w:r>
        <w:rPr>
          <w:rFonts w:ascii="Cambria" w:hAnsi="Cambria" w:eastAsia="Arial" w:cs="Arial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</w:rPr>
        <w:t xml:space="preserve">A Contratada será responsável pela observância das leis, decretos, regulamentos, portarias e normas Federais, Estaduais e Municipais direta e indiretamente aplicáveis ao objeto do contrato, inclusive por suas subcontratadas. </w:t>
      </w:r>
      <w:r>
        <w:rPr>
          <w:rFonts w:ascii="Cambria" w:hAnsi="Cambria" w:cs="Arial"/>
          <w:sz w:val="24"/>
          <w:szCs w:val="24"/>
        </w:rPr>
      </w:r>
    </w:p>
    <w:p>
      <w:pPr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</w:r>
    </w:p>
    <w:p>
      <w:pPr>
        <w:spacing/>
        <w:jc w:val="right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São Domingos do Norte ES 17 de Julho de 201</w:t>
      </w:r>
      <w:r/>
      <w:bookmarkStart w:id="0" w:name="_GoBack"/>
      <w:bookmarkEnd w:id="0"/>
      <w:r/>
      <w:r>
        <w:rPr>
          <w:rFonts w:ascii="Cambria" w:hAnsi="Cambria" w:cs="Arial"/>
          <w:sz w:val="24"/>
          <w:szCs w:val="24"/>
        </w:rPr>
        <w:t>9.</w:t>
      </w:r>
      <w:r>
        <w:rPr>
          <w:rFonts w:ascii="Cambria" w:hAnsi="Cambria" w:cs="Arial"/>
          <w:sz w:val="24"/>
          <w:szCs w:val="24"/>
        </w:rPr>
      </w:r>
    </w:p>
    <w:p>
      <w:pPr>
        <w:rPr>
          <w:b/>
          <w:sz w:val="28"/>
          <w:szCs w:val="28"/>
          <w:u w:color="auto" w:val="single"/>
        </w:rPr>
      </w:pPr>
      <w:r>
        <w:rPr>
          <w:b/>
          <w:sz w:val="28"/>
          <w:szCs w:val="28"/>
          <w:u w:color="auto" w:val="single"/>
        </w:rPr>
        <w:t xml:space="preserve">De acordo: </w:t>
      </w:r>
    </w:p>
    <w:p>
      <w:pPr>
        <w:spacing/>
        <w:jc w:val="both"/>
        <w:rPr>
          <w:b/>
        </w:rPr>
      </w:pPr>
      <w:r>
        <w:rPr>
          <w:b/>
        </w:rPr>
      </w:r>
    </w:p>
    <w:p>
      <w:pPr>
        <w:spacing/>
        <w:jc w:val="both"/>
        <w:rPr>
          <w:b/>
        </w:rPr>
      </w:pPr>
      <w:r>
        <w:rPr>
          <w:b/>
        </w:rPr>
        <w:t>Ricardo Scaramussa Chagas</w:t>
      </w:r>
    </w:p>
    <w:p>
      <w:pPr>
        <w:spacing/>
        <w:jc w:val="both"/>
        <w:rPr>
          <w:b/>
        </w:rPr>
      </w:pPr>
      <w:r>
        <w:t>Secretário Municipal de Agricultura</w:t>
      </w:r>
      <w:r>
        <w:rPr>
          <w:b/>
        </w:rPr>
      </w:r>
    </w:p>
    <w:p>
      <w:pPr>
        <w:rPr>
          <w:b/>
        </w:rPr>
      </w:pPr>
      <w:r>
        <w:rPr>
          <w:b/>
        </w:rPr>
      </w:r>
    </w:p>
    <w:p>
      <w:r>
        <w:rPr>
          <w:b/>
        </w:rPr>
        <w:t xml:space="preserve">Leoneide Barbosa da Silva                                                                                                                                                               </w:t>
      </w:r>
      <w:r>
        <w:t>Secretária Municipal de Educação e Cultura</w:t>
      </w:r>
    </w:p>
    <w:p>
      <w:r/>
    </w:p>
    <w:p>
      <w:pPr>
        <w:spacing/>
        <w:jc w:val="both"/>
      </w:pPr>
      <w:r/>
    </w:p>
    <w:p>
      <w:pPr>
        <w:rPr>
          <w:b/>
        </w:rPr>
      </w:pPr>
      <w:r>
        <w:rPr>
          <w:b/>
        </w:rPr>
        <w:t>Márcia Tânia Corbelari Vazzoller</w:t>
      </w:r>
    </w:p>
    <w:p>
      <w:r>
        <w:t>Chefe de Gabinete</w:t>
      </w:r>
    </w:p>
    <w:p>
      <w:pPr>
        <w:spacing/>
        <w:jc w:val="both"/>
      </w:pPr>
      <w:r/>
    </w:p>
    <w:p>
      <w:pPr>
        <w:rPr>
          <w:b/>
        </w:rPr>
      </w:pPr>
      <w:r>
        <w:rPr>
          <w:b/>
        </w:rPr>
      </w:r>
    </w:p>
    <w:p>
      <w:pPr>
        <w:rPr>
          <w:b/>
        </w:rPr>
      </w:pPr>
      <w:r>
        <w:rPr>
          <w:b/>
        </w:rPr>
        <w:t xml:space="preserve">Maria Goreth Barbosa Carneiro </w:t>
      </w:r>
    </w:p>
    <w:p>
      <w:pPr>
        <w:spacing/>
        <w:jc w:val="both"/>
      </w:pPr>
      <w:r>
        <w:t>Secretária Municipal do Trabalho, Assistência e Desenvolvimento Social.</w:t>
      </w:r>
    </w:p>
    <w:p>
      <w:pPr>
        <w:rPr>
          <w:b/>
        </w:rPr>
      </w:pPr>
      <w:r>
        <w:rPr>
          <w:b/>
        </w:rPr>
      </w:r>
    </w:p>
    <w:p>
      <w:pPr>
        <w:spacing/>
        <w:jc w:val="both"/>
        <w:rPr>
          <w:b/>
          <w:color w:val="ff0000"/>
        </w:rPr>
      </w:pPr>
      <w:r>
        <w:rPr>
          <w:b/>
          <w:color w:val="ff0000"/>
        </w:rPr>
      </w:r>
    </w:p>
    <w:p>
      <w:pPr>
        <w:spacing/>
        <w:jc w:val="both"/>
        <w:rPr>
          <w:b/>
          <w:color w:val="000000"/>
        </w:rPr>
      </w:pPr>
      <w:r>
        <w:rPr>
          <w:b/>
          <w:color w:val="000000"/>
        </w:rPr>
        <w:t xml:space="preserve">Gilciléia Carlita Marino Nicchio </w:t>
      </w:r>
    </w:p>
    <w:p>
      <w:pPr>
        <w:spacing/>
        <w:jc w:val="both"/>
        <w:rPr>
          <w:color w:val="000000"/>
        </w:rPr>
      </w:pPr>
      <w:r>
        <w:rPr>
          <w:color w:val="000000"/>
        </w:rPr>
        <w:t>Secretária Municipal de Meio Ambiente</w:t>
      </w:r>
    </w:p>
    <w:p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</w:r>
    </w:p>
    <w:p>
      <w:pPr>
        <w:rPr>
          <w:b/>
        </w:rPr>
      </w:pPr>
      <w:r>
        <w:rPr>
          <w:b/>
        </w:rPr>
      </w:r>
    </w:p>
    <w:p>
      <w:pPr>
        <w:rPr>
          <w:b/>
        </w:rPr>
      </w:pPr>
      <w:r>
        <w:rPr>
          <w:b/>
        </w:rPr>
        <w:t xml:space="preserve"> José Antonio do Carmo</w:t>
      </w:r>
    </w:p>
    <w:p>
      <w:r>
        <w:t>Secretário Municipal de Obras e Serviços Urbanos</w:t>
      </w:r>
    </w:p>
    <w:p>
      <w:pPr>
        <w:rPr>
          <w:b/>
        </w:rPr>
      </w:pPr>
      <w:r>
        <w:rPr>
          <w:b/>
        </w:rPr>
      </w:r>
    </w:p>
    <w:p>
      <w:pPr>
        <w:rPr>
          <w:b/>
        </w:rPr>
      </w:pPr>
      <w:r>
        <w:rPr>
          <w:b/>
        </w:rPr>
      </w:r>
    </w:p>
    <w:p>
      <w:r>
        <w:rPr>
          <w:b/>
        </w:rPr>
        <w:t xml:space="preserve">Claudio Heleno Comper                                                                                                                                                           </w:t>
      </w:r>
      <w:r>
        <w:t>Secretário Mun. de Adm. e Finanças</w:t>
      </w:r>
    </w:p>
    <w:p>
      <w:r/>
    </w:p>
    <w:p>
      <w:pPr>
        <w:rPr>
          <w:b/>
        </w:rPr>
      </w:pPr>
      <w:r>
        <w:rPr>
          <w:b/>
        </w:rPr>
      </w:r>
    </w:p>
    <w:p>
      <w:pPr>
        <w:rPr>
          <w:b/>
        </w:rPr>
      </w:pPr>
      <w:r>
        <w:rPr>
          <w:b/>
        </w:rPr>
        <w:t>Tamires Negrelli Bruno</w:t>
      </w:r>
    </w:p>
    <w:p>
      <w:r>
        <w:t xml:space="preserve">Procuradora Geral </w:t>
      </w:r>
    </w:p>
    <w:p>
      <w:pPr>
        <w:spacing/>
        <w:jc w:val="center"/>
        <w:rPr>
          <w:rFonts w:ascii="Cambria" w:hAnsi="Cambria" w:cs="Calibri"/>
          <w:color w:val="000000"/>
          <w:sz w:val="24"/>
          <w:szCs w:val="24"/>
        </w:rPr>
      </w:pPr>
      <w:r>
        <w:rPr>
          <w:rFonts w:ascii="Cambria" w:hAnsi="Cambria" w:cs="Calibri"/>
          <w:color w:val="000000"/>
          <w:sz w:val="24"/>
          <w:szCs w:val="24"/>
        </w:rPr>
      </w:r>
    </w:p>
    <w:p>
      <w:pPr>
        <w:rPr>
          <w:b/>
        </w:rPr>
      </w:pPr>
      <w:r>
        <w:rPr>
          <w:b/>
        </w:rPr>
        <w:t>Sanio Colnago Santiago</w:t>
      </w:r>
    </w:p>
    <w:p>
      <w:r>
        <w:t>Secretário Municipal de Controle Interno e Transparência</w:t>
      </w:r>
    </w:p>
    <w:p>
      <w:r/>
    </w:p>
    <w:p>
      <w:r>
        <w:t xml:space="preserve">                                         </w:t>
      </w:r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p>
      <w:r/>
    </w:p>
    <w:tbl>
      <w:tblPr>
        <w:tblStyle w:val="TableNormal"/>
        <w:name w:val="Tabela1"/>
        <w:tabOrder w:val="0"/>
        <w:jc w:val="left"/>
        <w:tblInd w:w="-497" w:type="dxa"/>
        <w:tblW w:w="9142" w:type="dxa"/>
        <w:tblLook w:val="0600" w:firstRow="0" w:lastRow="0" w:firstColumn="0" w:lastColumn="0" w:noHBand="1" w:noVBand="1"/>
      </w:tblPr>
      <w:tblGrid>
        <w:gridCol w:w="561"/>
        <w:gridCol w:w="550"/>
        <w:gridCol w:w="905"/>
        <w:gridCol w:w="4688"/>
        <w:gridCol w:w="460"/>
        <w:gridCol w:w="1093"/>
        <w:gridCol w:w="885"/>
      </w:tblGrid>
      <w:tr>
        <w:trPr>
          <w:tblHeader w:val="0"/>
          <w:cantSplit w:val="0"/>
          <w:trHeight w:val="255" w:hRule="atLeast"/>
        </w:trPr>
        <w:tc>
          <w:tcPr>
            <w:tcW w:w="561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0"/>
          </w:tcPr>
          <w:p>
            <w:pPr>
              <w:widowControl w:val="0"/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eastAsia="SimSun"/>
                <w:kern w:val="1"/>
                <w:sz w:val="20"/>
                <w:szCs w:val="20"/>
                <w:lang w:eastAsia="zh-cn"/>
              </w:rPr>
            </w:pPr>
            <w:r>
              <w:rPr>
                <w:rFonts w:eastAsia="SimSun"/>
                <w:kern w:val="1"/>
                <w:sz w:val="20"/>
                <w:szCs w:val="20"/>
                <w:lang w:eastAsia="zh-cn"/>
              </w:rPr>
            </w:r>
          </w:p>
        </w:tc>
        <w:tc>
          <w:tcPr>
            <w:tcW w:w="7696" w:type="dxa"/>
            <w:gridSpan w:val="5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1" behindDoc="1" locked="0" layoutInCell="1" hidden="0" allowOverlap="1">
                  <wp:simplePos x="0" y="0"/>
                  <wp:positionH relativeFrom="page">
                    <wp:posOffset>3257550</wp:posOffset>
                  </wp:positionH>
                  <wp:positionV relativeFrom="page">
                    <wp:posOffset>228600</wp:posOffset>
                  </wp:positionV>
                  <wp:extent cx="885825" cy="571500"/>
                  <wp:effectExtent l="0" t="0" r="0" b="0"/>
                  <wp:wrapNone/>
                  <wp:docPr id="1" name="Imagem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1"/>
                          <pic:cNvPicPr>
                            <a:extLst>
                              <a:ext uri="smNativeData">
                                <sm:smNativeData xmlns:sm="smNativeData" val="SMDATA_17_MwY2XRMAAAAlAAAAEQAAAE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DOAAAAACAAACAAAAABAAAAAAAAAAAAAAAKFAAAAAAAAAAAAABoAQAAcwUAAIQDAAAGAAAAChQAAGgBAAAoAAAACAAAAAEAAAABAAAA"/>
                              </a:ext>
                            </a:extLst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5715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ANEXO DO TERMO DE REFERÊNCIA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561" w:type="dxa"/>
            <w:shd w:val="none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0"/>
          </w:tcPr>
          <w:p>
            <w:pPr>
              <w:widowControl w:val="0"/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none"/>
              <w:rPr>
                <w:rFonts w:eastAsia="SimSun"/>
                <w:kern w:val="1"/>
                <w:sz w:val="20"/>
                <w:szCs w:val="20"/>
                <w:lang w:eastAsia="zh-cn"/>
              </w:rPr>
            </w:pPr>
            <w:r>
              <w:rPr>
                <w:rFonts w:eastAsia="SimSun"/>
                <w:kern w:val="1"/>
                <w:sz w:val="20"/>
                <w:szCs w:val="20"/>
                <w:lang w:eastAsia="zh-cn"/>
              </w:rPr>
            </w:r>
          </w:p>
        </w:tc>
        <w:tc>
          <w:tcPr>
            <w:tcW w:w="55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</w:p>
        </w:tc>
      </w:tr>
      <w:tr>
        <w:trPr>
          <w:tblHeader w:val="0"/>
          <w:cantSplit w:val="0"/>
          <w:trHeight w:val="49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Ítem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Especificação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Unid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Qdad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00012038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ADESIVO REDONDO PARA LACRAR ENVELOPES - TIPO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CONVITE NAS CORES - DOURADO E PRATA- COM 50 UNID.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00007323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AGENDA TELEFÔNICA QUE UTILIZA PAPEL 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FICHÁRIO - 23,5CM X 15CM.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00000298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AGENDA TIPO ANUAL revestimento capa couro,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quantidade folhas 350, gramatura 63, comprimento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210, tipo encadernação costurada, largura 150.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00005325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ALFINETE MURAL Nº 29- CX COM 50 GR cabeça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 resina termo plástica, e couro confeccionado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 aço niquelado, cores diversas.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00008593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ALMOFADA PARA CARIMBO ENTINTADA, COR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AZUL, REVESTIDA EM TECIDO Nº 03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00008594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ALMOFADA PARA CARIMBO ENTINTADA, COR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PRETA, REVESTIDA EM TECIDO Nº 04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00005272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APAGADOR PARA QUADRO BRANCO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00008595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APONTADOR DE METAL SEM DEPÓSITO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00006264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BARALHO DE PLÁSTICO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JG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00000986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BARBANTE- 100% ALGODÃO 08 FIOS 140 metros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RL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00012030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BLOCO AUTO ADESIVO 38MMX 50MM C/ 100 folhas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00012029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BLOCO AUTO ADESIVO 76MMX 76MM C/ 100 folhas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00012097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BOBINA DE PAPEL DE 01 (UMA) VIA PARA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CALCULADORA DE MESA 12 DÍGITOS HR 150 TM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00001592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BOLÕES DE SOPRAR Nº 7- PCT COM 50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UNIDADES - CORES VARIADAS A ESCOLHER.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00008132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BOLÕES DE SOPRAR Nº 8- PCT COM 50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UNIDADES - CORES VARIADAS A ESCOLHER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00002252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BORRACHA BRANCA Nº 40 - CX COM 40 unid.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00000289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BORRACHA PONTEIRA CX COM 50 UNIDADES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00003301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BORRACHA BRANCA DE VINIL COM CAPA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97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00018287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CAIXA DE CORRESPONDÊNCIA TRIPLA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ARTICULÁVEL - FORMATO OFICIO-370x260x150mm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00013850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CAPA PLASTICA PARA ENCADERNAR A4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TRANSPARENTE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00012785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CARTUCHO HP CZC103AB  (662) PRETO-2.00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ML- 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00012786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CARTUCHO HP CZC104 AB  (662) - COLORIDO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2.00 ML-ORIGINAL-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00002909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CD - R 700 MB X 80 MIM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00002910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CD - RW C/ CAPA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00018303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COLA ADESIVO INSTANTÂNEO CIANOACRILATO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MULTIUSO para artesanato viscosidade média,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 com 10 tubos e 20g com bico tipo a.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00008539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CADERNO CAPA DURA PEQUENO - 46 FLS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00003648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CADERNO CAPA DURA DE 10 MATÉRIAS 200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FLS- PACOTE C/ 10 UNIDADES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00005319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CADERNO PEQUENO 96 FOLHAS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00003035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CADERNO PEQUENO ESPIRAL C.FLEX. 1/4 PCT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C/ 10 UNID – 96 FLS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00008528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CADERNO UNIVERSITÁRIO ESPIRAL CAPA DURA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 1 MATERIA 96 FLS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00003296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CADERNO BROCHURA C/ 48 FLS PCT C/ 20 UNID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00007360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CAIXA ORGANIZADORA PLÁSTICO 30L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TRANSPARENTE COM TAMPA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00007359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CAIXA ORGANIZADORA PLÁSTICO 56L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TRANSPARENTE COM TAMPA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00005256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CAIXA DE ARQUIVO DE PROLIPROPILENO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medidas: 25 x 35 x 13 cm (a x l x p)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tamanho: ofício fechamento: travas Cor: Cinza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00005255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CAIXA DE ARQUIVO DE PAPELÃO - 350 X 135 X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240mm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00003289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CALCULADORA DE MESA 8 DÍGITOS visor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grande alimentação de bateria/ alimentação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solar/ tecla memória/ raiz quadrada/inversão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sinal/ porcentagem/ teclado emborrachado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embalagem box/ medidas 10.5x12.5x1.9mm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00006266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CALCULADORA DE MESA DE 12 DÍGITOS,SOLAR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 PILHA AA, VISOR INCLINADO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00003040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CANETA ESFEROGRÁFICA - AZUL - CAIXA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 UNIDADES com corpo transparente,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hexagonal, tampa ventilada, furo central no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corpo, ponta média de cobre de 1.0mm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esfera de tungstênio-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composição: resinas termoplásticas, tinta à base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 corantes orgânicos e solventes.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00003041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CANETA ESFEROGRÁFICA - PRETA - CAIXA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 UNIDADES com corpo transparente,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hexagonal, tampa ventilada, furo central no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corpo, ponta média de cobre de 1.0mm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esfera de tungstênio-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composição: resinas termoplásticas, tinta à base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 corantes orgânicos e solventes.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00003042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CANETA ESFEROGRÁFICA -VERMELHA- CAIXA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 UNIDADES com corpo transparente,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hexagonal, tampa ventilada, furo central no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corpo, ponta média de cobre de 1.0mm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esfera de tungstênio-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composição: resinas termoplásticas, tinta à base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 corantes orgânicos e solventes.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00003718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CANETA HIDROCOR ESTOJO C/ 12 CORES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00008142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CANETA RETROPROJETOR PRETA 1.0 - CX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 UNIDADES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00002250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CANETA RETROPROJETOR PRETA 2.0MM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00007338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CANETA RETROPROJETOR COR VERMELHA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2.0-MM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00012041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CANETA EM GEL PONTA SUIÇA 0,8MM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METÁLICAS NA COR DOURADA- CX COM 12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00012042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CANETA EM GEL PONTA SUIÇA 0,8MM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METÁLICAS NA COR PRATA- CX COM 12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00012101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CAPA PLÁSTICA P/ ENCADERNAR A4 - PRETA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00018110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CARTOLINA - 50 X 66 - CORES VARIADAS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00010493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CARTOLINA DECORADA DUPLA FACE (UMA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FACE DIFERENTE DA OUTRA) 50X65 PCT C/ 20 FLS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00007293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CARTUCHO HP DESINGNJET T520 711-BLACK-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25,00000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CZ 133.A - 80MM - ORIGINAL-FABR.IMPRESSORA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00007294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CARTUCHO HP DESINGNJET T520 711-CYAN-CZ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15,00000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130.A - 29MM - 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00007295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CARTUCHO HP DESINGNJET T520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15,00000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711-MAGENTA-CZ 131.A - 29MM - ORIGINAL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00007296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CARTUCHO HP DESINGNJET T520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711-YELLOW-CZ 132.A - 29MM - ORIGINAL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00007312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CARTUCHO HP DESKJET 3516-COLORIDO 662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CZ 104 A-ORIGINAL FABRICANTE 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00007311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CARTUCHO HP DESKJET 3516-PRETO 662 CZ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 A-ORIGINAL FABRICANTE 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00006909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CARTUCHO DE TINTA HP DESKEJET 3050-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COLORIDO 122 original do fabricante da Imopressora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00006908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CARTUCHO DE TINTA HP DESKEJET 3050-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PRETO 122 original do fabricante da impressora.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00003266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CLIP Nº 1/0 arame de aço com acabamento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galvanizado,  acondicionados em sacos plásticos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lacrados, colocados em caixas de cartão,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quantidade de 810 clipes/cx 500 gramas.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00003267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CLIP Nº 3/0 arame de aço com acabamento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galvanizado,  acondicionados em sacos plásticos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lacrados, colocados em caixas de cartão,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quantidade de 415 clipes/cx 500 gramas.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00008603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CLIP Nº 5/0 - NA COR DOURADO - CX COM 100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UNIDADES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00003268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CLIP Nº 8/0 arame de aço com acabamento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galvanizado,  acondicionados em sacos plásticos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lacrados, colocados em caixas de cartão,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quantidade 137clipes/cx 500 gramas.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00003297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CLIPS Nº  2/0 arame de aço com acabamento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galvanizado,  acondicionados em sacos plásticos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lacrados, colocados em caixas de cartão,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quantidade  de 725clipes/cx 500 gramas.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00008542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COLA BRANCA - 90 GR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00002244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COLA BRANCA 1KG características mínimas: não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tóxica, aderência de alta qualidade, totalmente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lavável, ideal para trabalhos em madeira, papel,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cartolina, papelão e assemelhados, segura para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Crianças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00003060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COLA BRANCA 35GR - CX COM 12 UNIDADES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00002230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COLA QUENTE TRANSPARENTE 11,3MM X 30 CM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(GROSSO) - PCT 01 KG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00002194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COLA QUENTE TRANSPARENTE 7MM X 30 CM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(FINO)- PCT 01 KG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00004052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COLA COLORIDA AZUL, VERDE, VERMELHO,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AMARELO, 23 GR ( CX C/ 4 UNID)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00008543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COLA PARA EVA E ISOPOR 90GR.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00008610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CORDA DE SISAL 10MM - ROLO 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RL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APROXIMADAMENTE 15M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00000751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CORRETIVO LIQUIDO 18 ML cobertura uniforme;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secagem rápida; correção precisa; ideal para uso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pessoal ou profissional.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00013267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DESTACA TEXTO AMARELO - características do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produto:cores superfluorescentes-maior destaque.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maior durabilidade. 2 medidas de traço: 1,0 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 sublinhar e 4,0mm para destacar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00005258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DVD-R 4,7GB, 120 MIN X 8X 16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00000411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DUREX COLORIDO - PCT COM 06 UNIDADES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00018106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ENVELOPE CONVITE LISO-TAMANHO 16X22CM 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 C/100 UNI-CORES A DEFINIR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00006666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EVA 40X60X02MM - 10 UNID. (CORES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VARIADAS) nas cores: preto, branco, vermelho,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rosa, verde bandeira,  lilás, azul, amarelo,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marron, bege, laranja, verde claro, azul marinho.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00007266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EVA DECORADO 48 X 40 CM- CORES 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DESENHOS VARIADOS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00005314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ELÁSTICO SUPER AMARELO Nº 18 (borracha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dinheiro), com 2.000 unidades, com 01 kg.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00018105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ENVELOPE CONVITE 80G - 160MM X 235MM 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 COM 100 UNID.  cores a definir.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00012096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ENVELOPE PEQUENO - 22X11 - NA COR BRANCA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760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00003077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ENVELOPES GRANDE BRANCO- 260 X 360 - CX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 250 UNID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00006913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ESPIRAL PARA ENCADERNAÇÃO 07MM X33CM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00002461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ESPIRAL PARA ENCADERNAÇÃO 09MM X 33 CM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00008521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ESTILETE COM TRAVA- LÂMINA 9MM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00005412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ETIQUETA P/ IMPRESSORA LASER tamanho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50.8mmx101.6 mm contendo 10 etiquetas por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folha cx 100 fls.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00008520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EXTRATOR DE GRAMPOS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00007327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ADESIVA CREPE - 19MM X 50M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00006903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ADESIVA CREPE 50X50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00002678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ADESIVA DUPLA FACE 12MM X 30M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00002937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ADESIVA PVC 45 X 50M TRANSPARENTE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00012095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CORRETIVA - 5MM X 5M - CX COM 06 UNID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00002939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DUREX TRANSPARENTE 12 X 30M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00006880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DUREX TRANSPARENTE 12MM X 40 MT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(TAMANHO GRANDE)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00008612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FLORAL COR VERDE - 30 METROS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RL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00008535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NATAL - COR DOURADA 100%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POLIAMIDA- LARGURA 63 MM utilizada para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diversas finalidades como decoração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ambientes e laços.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00008533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NATAL - COR VERDE 100% POLIMIAMIDA-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LARGURA 63 MM utilizada para diversas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finalidades como decoração de ambientes e laços.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00008534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NATAL - COR VERMELHA 100%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POLIAMIDA- LARGURA 63 MM futilizada para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diversas finalidades como decoração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ambientes e laços.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00004053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DUREX TRANSPARENTE 12X40M ( PCT C/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UNID)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00003271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FITA IMPRESSORA DE COPIA DE CHEQUE CMI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600/70 HASTE CURTA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00003335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FITILHOS PLÁSTICO C/ 50MT DE 5 ML EM CORES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RL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DIVERSAS nas cores: amarelo, azul, branco,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dourado, prata, rosa, verde e vermelho.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00018300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FURADOR ARTESANAL COM ALAVANCA JUMBO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 E.V.A - MODELO URSO- 6MMX6MM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00008742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FURADOR ARTESANAL COM ALAVANCA JUMBO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 E.V.A - MODELO  ESTRELA - 6MMX6MM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00008744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FURADOR ARTESANAL COM ALAVANCA JUMBO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 E.V.A - MODELO  LAÇO  - 6MMX6MM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00008745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FURADOR ARTESANAL COM ALAVANCA JUMBO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 E.V.A - MODELO BORBOLETA - 6MMX6MM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00008746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FURADOR ARTESANAL COM ALAVANCA JUMBO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 E.V.A - MODELO CORAÇÃO  - 6MMX6MM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00018298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FURADOR ARTESANAL COM ALAVANCA JUMBO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 E.V.A - MODELO FLOR BP - 6MMX6MM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00018299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FURADOR ARTESANAL COM ALAVANCA JUMBO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 E.V.A - MODELO FOLHA 2- 6MMX6MM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00018301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GRAMPEADOR TAPECEIRO ALTA PRESSÃO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PROFISSIONAL controle de pressão de mola,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corpo em aço - ideal para todos os tipos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tapeceiros, telas para pintura útil para revestir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madeiras com tecidos, etc.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00018389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GRAMPO P/ PASTA DE TRILHO DE PLASTICO 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 50 UNID.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00018302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GRAMPO PARA GRAMPEADOR TAPECEIRO ALTA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PRESSÃO PROFISSIONAL - COR PRATA caixa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 1.000 grampos.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00000413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GIZ DE CERA - CX COM 12 UNIDADE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00001101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GRAFITE 0.7MM 2B (ESTOJO CONTENDO 12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MINAS)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00003273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GRAMPEADOR GRANDE DE INOX  (100) FOLHAS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) 23/13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00004055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GRAMPEADOR PEQUENO DE INOX ( 30 FOLHAS )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26/6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00002947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GRAMPO P/ GRAMPEADOR 26/6 C/ 5000 UNID (DOURADO)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00002948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GRAMPO P/ GRAMPEADOR N° 23/13 CX 5000 UNID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00002949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GRAMPO P/ PASTA TIPO TRILHO 8MM DE METAL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 C/ 50 UNID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00008278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IMÃ FLEXÍVEL PARA ARTESANATO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RL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00001311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LAPISEIRA PONTA DE METAL 0.5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00003283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LAPISEIRA PONTA DE METAL 0.7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00002953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LIVRO ATA 100 FLS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00002954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LIVRO ATA 50 FLS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00003291</w:t>
            </w:r>
          </w:p>
        </w:tc>
        <w:tc>
          <w:tcPr>
            <w:tcW w:w="5148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LIVRO DE PROTOCOLO DE CORRESPONDÊNCIA 104 FLS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00002952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LÁPIS PRETO Nº 02 - CX 144 UNID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00003336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LÁPIS DE COR GRANDE COM 12 CORES PCT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 12 UNIDADES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00002955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MASSA DE MODELAR COM 12 CORES - PCT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UNIDADES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00003274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MOLHA DEDO EM PASTA - 12 G para manuseio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 papéis e papel moeda não tóxico.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00008685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ABA ELÁSTICO OFÍCIO SIMPLES, 100%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PLÁSTICA, 3,5CM DE ALTURA, COR:TRANSPARENTE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00007277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PALITO DE CHURRASCO - PCT COM 50 UNID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00003275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 CARBONO DUPLA FACE, CX COM 100 UNID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00002961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A4 - 75GR- 210X297 - CX 10 RESMAS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00008624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A4 COLORIDO - PACOTE COM 32 FOLHAS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 08 CORES DIVERSAS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00004059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CARTÃO - PCT C/ 20UNID NAS CORES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00004059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DIVESAS nas cores: amarelo, branco, aaul,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laranja,marron, preto, rosa,vermelho, verde.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00008330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CELOFONE CORES VARIADAS PCT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 FOLHAS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00002968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CONTACT - ROLO C/ 25 MT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RL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00008329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COUCHE COM BRILHO 120G  A4 - PCT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 50 FOLHAS - COR BRANCA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00017893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CREPON- PCT COM 10 UNID.- CORES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DIVERSAS nas cores: amarelo, azul, branco,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rosa, verde, vermelho.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00017894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DUPLA FACE - PCT COM 20 UNID- CORES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DIVERSAS nas cores: amarelo, azul, azul celeste,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laranja, lilás, marron, pele, pink, preto, rosa,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salmão, verde, verde claro, e vermelho.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00002970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KRAFIT - BRANCO - 66X96CM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FLS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00002232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LAMINADO COLORIDO - CORES VARIADAS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FLS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PCT COM 40 UNIDADES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00017318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LUSTROSO - 50 X 60- EM CORES DIVERSAS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 COM 40 UNIDADES.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00003341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SEDA PCT C/ 100 UNID - CORES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DIVERSAS nas cores: amarelo, azul, branco,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preto, rosa, verde e vermelho.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00007292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SULFITE A1 PARA PLOTER SPEDPER 75G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RL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- 610 X 50M2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00017910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PAPEL VERGÊ - NAS CORES DIVERSAS-PACT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PCT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 50 UNIDADES- 210X 297 nas cores: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amarelo, azul claro, branco, verde claro.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00002985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AZ LOMBO ESTREITO C/ ALAVANCA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REGULAGEM E TRAVA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00002986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AZ LOMBO LARGO C/ ALAVANCA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REGULAGEM E TRAVA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00000805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CATÁLOGO C/ 50 PLÁSTICOS MED.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243MM X 333MM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00008625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CATÁLOGO- COM 100 ENVELOPES-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PLÁSTICOS 0,12- MEDIDAS 243X333MM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00008541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SANFONADA RETRÁTIL PLÁSTICA A4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 31 DIVISÓRIAS - COR AZUL 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00002989</w:t>
            </w:r>
          </w:p>
        </w:tc>
        <w:tc>
          <w:tcPr>
            <w:tcW w:w="5148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SUSPENSA MARMORIZADA- CX COM 50 UNID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00002987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C/ ELÁSTICO LISA DE PLÁSTICO 18MM-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CORES VARIADAS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00003299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COM ELÁSTICO LISA DE PLÁSTICO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TRANSPARENTE 18MM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00004339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PASTA PLÁSTICA TRANSPARENTE COM TRILHO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00007297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PEN DRIVE 16 GB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00008518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PEN DRIVE 32 GIGAS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00004440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PEN DRIVE 8 GIGAS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00008529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PERFURADOR DE PAPEL COM 02 FUROS 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PERFURA 60 FOLHAS acompanha centralizador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cor: prata com preto garantia 5 anos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00004174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PILHA ALCALINA AA - 1,5 VOLTS -NÃO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RECARREGÁVEL embalagens individualmente ou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 duplas.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00008019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PILHA ALCALINA AAA - 1,5 VOLTS -NÃO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RECARREGÁVE embalagens individualmente ou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 duplas.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00005329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PINCEL ATÔMICO 1.100-P - COR AZUL - CAIXA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 12 UNID. característica mínimas: ponta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feltro, tinta à base de álcool, espessura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escrita: 2.0mm, 4.5 mm e 8.00mm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00007347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PINCEL PARA QUADRO BRANCO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RECARREGÁVEL - COR AZUL ponta redonda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espessura media tamanho: 11,5cm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00006671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PINCEL PARA QUADRO BRANCO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RECARREGÁVEL- COR VEMELHO ponta redonda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espessura media -tamanho: 11,5cm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00008340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PINCEL PARA TECIDO CERDA Nº 06-PELO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BRASIL CABO VERMELHO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00018293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PINCEL PARA TECIDO CERDA Nº 08-PELO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BRASIL CABO PRETO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00008341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PINCEL PARA TECIDO CERDA Nº 08-PELO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BRASIL CABO VERMELHO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00018294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PINCEL PARA TECIDO CERDA Nº 10-PELO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BRASIL CABO AZUL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00008343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PINCEL PARA TECIDO CERDA Nº 12 - PELO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BRASIL CABO VERMELHO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00003002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PISTOLA DE COLA QUENTE - BASTÃO DE 7MM X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 CM - (FINO) usado para colar papel, papelão,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madeira, cortiça, isopor, artesanato em geral,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flores, decorações.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informações técnicas: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tensão: bivolt 110/220 v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00007290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PORTA CANETA característica do produto: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poliestileno, cor: cristal ou fumê, dimensão: 57x57x86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00007357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PORTA CRACHÁ HORIZONTAL  PLÁSTICO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5148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TRANSPARENTE- MEDINDO 10,5 X 7,8MM-COM CORDÃO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00008532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PORTA LÁPIS, CLIPS E CARTÃO omposição: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148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poliestireno capacidade: 120 clips, 15 canetas e 100 folhas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folhas, lembrete, altura: 10cm,  comprimento: 7,5cm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cores:fumê.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00004100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PRANCHETA ACRÍLICA FUMÊ, TAMANHO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OFÍCIO- COM PRENDEDOR DE PAPÉIS. metálico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rebitado- material de 1ª qualidade.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00001099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PRANCHETA MDF A4 COM PRENDEDOR DE METAL ACRÍLICO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00007431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PRATOS DE PAPELÃO Nº 4 - 20 CM DE DIÂMETRO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00003343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PURPURINA 3G - CX COM 12 UNIDADES- CORES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DIVERSAS nas cores: prata, vermelha, verde,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dourada, azul e rosa.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00006902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QUADRO BRANCO CONFECCIONADO EM MDF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-1,20 X 0,90 MOLDURA ALUMÍNIO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00000070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QUADRO DE CORTIÇA 90 X 1,20M MOLDURA 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PINUS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00001851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QUEBRA CABEÇA 25 pcs em madeira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JG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REFIL  TINTA  P/ IMPRESSORA  MULTIF.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00018208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ECOTANK EPSON L 380 -T664 -BLACK  70 ML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18,00000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original fab. impressora.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00018212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REFIL DE TINTA P/ IMPRES MULTIF.  ECOTANK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M250 - MONOCROMATICA -T774 - BLACK 140 ML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original fab. impressora.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00018209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REFIL DE TINTA P/ IMPRESSORA MULTIF.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ECOTANK EPSON L380 - T664 - MAGENTA - 70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ML original fab. impressora.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00018211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REFIL DE TINTA P/ IMPRESSORA MULTIF.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ECOTANK EPSON L380 - T664 - YELLON 70 ML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original fab. impressora.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00018210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REFIL DE TINTA P/ IMPRESSORA MULTIF.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ECOTANK EPSON L380 -T664 - CYAN 70 ML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original fab. 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00011880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REFIL DE TINTA PARA IMPRESSORA EPSON L220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 BLACK 70 ML - 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00011882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REFIL DE TINTA PARA IMPRESSORA EPSON L220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 CYAN 70 ML - 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00011881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REFIL DE TINTA PARA IMPRESSORA EPSON L220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MAGENTA 70 ML - 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00011883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REFIL DE TINTA PARA IMPRESSORA EPSON L220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 YELLOW 70 ML - 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00003285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RÉGUA ACRILICA TRANSPARENTE 30 CM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00006884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SUPORTE PARA DUREX SF 2000 - 360 X 330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00018297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TNT- ROLO COM 50 METROS - CORES VARIADAS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RL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38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 ESCOLHER preto, vermelho, amarelo, verde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escuro, laranja, rosa pink, rosa claro, azul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escuro, azul claro, roxo, branco.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00018171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 MULTIFUNCIONAL BROHER 2540 DW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original fabr.impressora.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00018170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MULTIFUNCIONAL BROTHER DCP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1617NW 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00008540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TESOURA ARTESANAL- QUE PERMITE FAZER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CORTES ARTÍSTICOS EM PAPEL E EVA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00000395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TESOURA ESCOLAR-LÂMINAS AÇO INOX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PONTAS ARREDONDADAS-CABO PLÁSTICO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TESOURA GRANDE DE USO GERAL lâmina de aço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00003742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inoxidável 8, 21 cm cabo em polipropileno, cor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preto, acondicionada em embalagem individual.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00008376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TINTA ANTI-ALÉRGICA PARA ROSTO caixa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 unidades com 15 ml, cores variadas.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00004064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TINTA GUACHE DE 250ML, CX C/ 06 UNID- COM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CORES DIVERSAS nas cores: azul, branco,verde,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vermelho, amarelo, azul claro, laranja, marron,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preto, rosa, verde claro.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00005419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TINTA PARA CARIMBO AUTOMÁTICO 28 ML- COR PRETA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00017914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TINTA PARA TECIDO 40ML - CX COM 12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CX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UNIDADES - CORES DIVERSAS nas cores: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amarelo, azul, marron, preto, rosa, azul, verde,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vermelho e branca.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00006907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TINTA PARA CARIMBO COR AZUL 42 ML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00004085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TINTA PARA CARIMBO COR PRETO 42 ML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00008417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BROTHER TN 580 - MFC 8890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DW-ORIGINAL DO FABRICANTE DA 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203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00005376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HP LASER JET 1018- ORIGINAL DO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FABRICANTE DA 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204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00006276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HP LASER JET 1020-ORIGINAL DO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FABRICANTE DA 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205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00007280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TONER HP LASER JET 1132 CE285 A - ORIGINAL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 FABRICANTE DA 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206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00005366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HP LASER JET 1505-ORIGINAL DO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FABRICANTE DA 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207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00011879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TONER HP LASER JET PRO MFP M127 FN 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208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00008538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HP LASER JET MULTIFUNCIONAL M125A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209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00005354</w:t>
            </w:r>
          </w:p>
        </w:tc>
        <w:tc>
          <w:tcPr>
            <w:tcW w:w="5148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PARA HP LASER JET P 1005 - CB 435A -ORIGINAL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159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210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7289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PARA HP LASER JET P1102W - ORIGINAL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90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211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00008519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TONER PARA IMPRESSORA BROTHER HL 1110 -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ORIGINAL 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212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00006270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TONNER LASER JET M1132 MPF - ORIGINAL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</w:tr>
      <w:tr>
        <w:trPr>
          <w:tblHeader w:val="0"/>
          <w:cantSplit w:val="0"/>
          <w:trHeight w:val="255" w:hRule="atLeast"/>
        </w:trPr>
        <w:tc>
          <w:tcPr>
            <w:tcW w:w="1111" w:type="dxa"/>
            <w:gridSpan w:val="2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688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FABR.IMPRESSORA</w:t>
            </w:r>
          </w:p>
        </w:tc>
        <w:tc>
          <w:tcPr>
            <w:tcW w:w="460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093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vAlign w:val="bottom"/>
            <w:shd w:val="none"/>
            <w:tcMar>
              <w:top w:w="0" w:type="dxa"/>
              <w:left w:w="70" w:type="dxa"/>
              <w:bottom w:w="0" w:type="dxa"/>
              <w:right w:w="70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563821619" protected="1"/>
          </w:tcPr>
          <w:p>
            <w:pPr>
              <w:spacing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</w:tbl>
    <w:p>
      <w:r/>
    </w:p>
    <w:p>
      <w:pPr>
        <w:spacing/>
        <w:jc w:val="right"/>
        <w:rPr>
          <w:rFonts w:ascii="Cambria" w:hAnsi="Cambria" w:cs="Arial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São Domingos do Norte ES 17 de Julho de 2019.</w:t>
      </w:r>
    </w:p>
    <w:p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9"/>
      <w:type w:val="nextPage"/>
      <w:pgSz w:h="16838" w:w="11906"/>
      <w:pgMar w:left="1701" w:top="1417" w:right="1701" w:bottom="1417" w:header="567" w:footer="0"/>
      <w:paperSrc w:first="7" w:other="7" a="0" b="0"/>
      <w:pgNumType w:fmt="decimal"/>
      <w:tmGutter w:val="3"/>
      <w:mirrorMargins w:val="0"/>
      <w:tmSection w:h="-2">
        <w:tmHeader w:id="0" w:h="0" edge="567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Symbol">
    <w:panose1 w:val="05050102010706020507"/>
    <w:charset w:val="02"/>
    <w:family w:val="roman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auto"/>
    <w:pitch w:val="default"/>
  </w:font>
  <w:font w:name="Calibri">
    <w:panose1 w:val="020F0502020204030204"/>
    <w:charset w:val="00"/>
    <w:family w:val="swiss"/>
    <w:pitch w:val="default"/>
  </w:font>
  <w:font w:name="Helvetica">
    <w:panose1 w:val="020B060402020202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  <w:font w:name="MS Minngs">
    <w:panose1 w:val="02020603050405020304"/>
    <w:charset w:val="00"/>
    <w:family w:val="roman"/>
    <w:pitch w:val="default"/>
  </w:font>
  <w:font w:name="Algerian">
    <w:panose1 w:val="04020705040A02060702"/>
    <w:charset w:val="00"/>
    <w:family w:val="decorative"/>
    <w:pitch w:val="default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5"/>
      <w:ind w:left="0"/>
      <w:spacing w:before="0"/>
      <w:jc w:val="center"/>
      <w:tabs defTabSz="709">
        <w:tab w:val="left" w:pos="1245" w:leader="none"/>
        <w:tab w:val="center" w:pos="4712" w:leader="none"/>
      </w:tabs>
      <w:rPr>
        <w:rFonts w:ascii="Algerian" w:hAnsi="Algerian"/>
        <w:sz w:val="20"/>
      </w:rPr>
    </w:pPr>
    <w:r/>
    <w:r>
      <w:rPr>
        <w:noProof/>
      </w:rPr>
      <w:drawing>
        <wp:inline distT="0" distB="0" distL="114300" distR="114300">
          <wp:extent cx="742950" cy="600075"/>
          <wp:effectExtent l="0" t="0" r="0" b="0"/>
          <wp:docPr id="1025" name="Imagem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" name="Imagem2"/>
                  <pic:cNvPicPr>
                    <a:picLocks noChangeAspect="1"/>
                    <a:extLst>
                      <a:ext uri="smNativeData">
                        <sm:smNativeData xmlns:sm="smNativeData" val="SMDATA_17_MwY2XR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IYQs9tlCAn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F6AAAAAAAAAAAAAAAAAAAAIAAACqEAAAAAAAAAIAAADIAAAAkgQAALEDAAAAAAAAGBUAAJgD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" cy="600075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inline>
      </w:drawing>
    </w:r>
    <w:r/>
    <w:r>
      <w:rPr>
        <w:rFonts w:ascii="Algerian" w:hAnsi="Algerian"/>
        <w:sz w:val="20"/>
      </w:rPr>
    </w:r>
  </w:p>
  <w:p>
    <w:pPr>
      <w:pStyle w:val="para5"/>
      <w:ind w:left="0"/>
      <w:spacing w:before="0"/>
      <w:jc w:val="center"/>
      <w:tabs defTabSz="709">
        <w:tab w:val="left" w:pos="1245" w:leader="none"/>
        <w:tab w:val="center" w:pos="4712" w:leader="none"/>
      </w:tabs>
      <w:rPr>
        <w:rFonts w:ascii="Algerian" w:hAnsi="Algerian"/>
        <w:sz w:val="20"/>
      </w:rPr>
    </w:pPr>
    <w:r>
      <w:rPr>
        <w:sz w:val="20"/>
      </w:rPr>
      <w:t>Prefeitura Municipal de São Domingos do Norte</w:t>
    </w:r>
    <w:r>
      <w:rPr>
        <w:rFonts w:ascii="Algerian" w:hAnsi="Algerian"/>
        <w:sz w:val="20"/>
      </w:rPr>
    </w:r>
  </w:p>
  <w:p>
    <w:pPr>
      <w:spacing/>
      <w:jc w:val="center"/>
      <w:tabs defTabSz="709"/>
      <w:pBdr>
        <w:top w:val="nil" w:sz="0" w:space="3" w:color="000000" tmln="20, 20, 20, 0, 60"/>
        <w:left w:val="nil" w:sz="0" w:space="3" w:color="000000" tmln="20, 20, 20, 0, 60"/>
        <w:bottom w:val="nil" w:sz="0" w:space="3" w:color="000000" tmln="20, 20, 20, 0, 60"/>
        <w:right w:val="nil" w:sz="0" w:space="3" w:color="000000" tmln="20, 20, 20, 0, 60"/>
        <w:between w:val="nil" w:sz="0" w:space="0" w:color="000000" tmln="20, 20, 20, 0, 0"/>
      </w:pBdr>
      <w:shd w:val="none"/>
      <w:rPr>
        <w:color w:val="000000"/>
        <w:sz w:val="20"/>
        <w:szCs w:val="20"/>
        <w:lang w:eastAsia="zh-cn"/>
      </w:rPr>
    </w:pPr>
    <w:r>
      <w:rPr>
        <w:color w:val="000000"/>
        <w:sz w:val="20"/>
        <w:szCs w:val="20"/>
        <w:lang w:eastAsia="zh-cn"/>
      </w:rPr>
      <w:t>Rod. Gether Lopes de Farias, s/nº - Bairro Emílio Calegari - São Domingos do Norte/ES CEP 29745-000</w:t>
    </w:r>
  </w:p>
  <w:p>
    <w:pPr>
      <w:spacing/>
      <w:jc w:val="center"/>
      <w:tabs defTabSz="709"/>
      <w:pBdr>
        <w:top w:val="nil" w:sz="0" w:space="3" w:color="000000" tmln="20, 20, 20, 0, 60"/>
        <w:left w:val="nil" w:sz="0" w:space="3" w:color="000000" tmln="20, 20, 20, 0, 60"/>
        <w:bottom w:val="nil" w:sz="0" w:space="3" w:color="000000" tmln="20, 20, 20, 0, 60"/>
        <w:right w:val="nil" w:sz="0" w:space="3" w:color="000000" tmln="20, 20, 20, 0, 60"/>
        <w:between w:val="nil" w:sz="0" w:space="0" w:color="000000" tmln="20, 20, 20, 0, 0"/>
      </w:pBdr>
      <w:shd w:val="none"/>
      <w:rPr>
        <w:color w:val="000000"/>
        <w:sz w:val="20"/>
        <w:szCs w:val="20"/>
        <w:lang w:eastAsia="zh-cn"/>
      </w:rPr>
    </w:pPr>
    <w:r>
      <w:rPr>
        <w:color w:val="000000"/>
        <w:sz w:val="20"/>
        <w:szCs w:val="20"/>
        <w:lang w:eastAsia="zh-cn"/>
      </w:rPr>
      <w:t>Telefone/Telefax: (027) 3742 0200 - CNPJ 36.350.312/0001-72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Lista numerada 1"/>
    <w:lvl w:ilvl="0">
      <w:numFmt w:val="bullet"/>
      <w:suff w:val="tab"/>
      <w:lvlText w:val=""/>
      <w:lvlJc w:val="left"/>
      <w:pPr>
        <w:ind w:left="1068" w:hanging="0"/>
      </w:pPr>
      <w:rPr>
        <w:rFonts w:ascii="Symbol" w:hAnsi="Symbol" w:eastAsia="Symbol" w:cs="Symbol"/>
      </w:rPr>
    </w:lvl>
    <w:lvl w:ilvl="1">
      <w:numFmt w:val="bullet"/>
      <w:suff w:val="tab"/>
      <w:lvlText w:val="o"/>
      <w:lvlJc w:val="left"/>
      <w:pPr>
        <w:ind w:left="1788" w:hanging="0"/>
      </w:pPr>
      <w:rPr>
        <w:rFonts w:ascii="Courier New" w:hAnsi="Courier New" w:eastAsia="Courier New" w:cs="Courier New"/>
      </w:rPr>
    </w:lvl>
    <w:lvl w:ilvl="2">
      <w:numFmt w:val="bullet"/>
      <w:suff w:val="tab"/>
      <w:lvlText w:val=""/>
      <w:lvlJc w:val="left"/>
      <w:pPr>
        <w:ind w:left="2508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3228" w:hanging="0"/>
      </w:pPr>
      <w:rPr>
        <w:rFonts w:ascii="Symbol" w:hAnsi="Symbol" w:eastAsia="Symbol" w:cs="Symbol"/>
      </w:rPr>
    </w:lvl>
    <w:lvl w:ilvl="4">
      <w:numFmt w:val="bullet"/>
      <w:suff w:val="tab"/>
      <w:lvlText w:val="o"/>
      <w:lvlJc w:val="left"/>
      <w:pPr>
        <w:ind w:left="3948" w:hanging="0"/>
      </w:pPr>
      <w:rPr>
        <w:rFonts w:ascii="Courier New" w:hAnsi="Courier New" w:eastAsia="Courier New" w:cs="Courier New"/>
      </w:rPr>
    </w:lvl>
    <w:lvl w:ilvl="5">
      <w:numFmt w:val="bullet"/>
      <w:suff w:val="tab"/>
      <w:lvlText w:val=""/>
      <w:lvlJc w:val="left"/>
      <w:pPr>
        <w:ind w:left="4668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5388" w:hanging="0"/>
      </w:pPr>
      <w:rPr>
        <w:rFonts w:ascii="Symbol" w:hAnsi="Symbol" w:eastAsia="Symbol" w:cs="Symbol"/>
      </w:rPr>
    </w:lvl>
    <w:lvl w:ilvl="7">
      <w:numFmt w:val="bullet"/>
      <w:suff w:val="tab"/>
      <w:lvlText w:val="o"/>
      <w:lvlJc w:val="left"/>
      <w:pPr>
        <w:ind w:left="6108" w:hanging="0"/>
      </w:pPr>
      <w:rPr>
        <w:rFonts w:ascii="Courier New" w:hAnsi="Courier New" w:eastAsia="Courier New" w:cs="Courier New"/>
      </w:rPr>
    </w:lvl>
    <w:lvl w:ilvl="8">
      <w:numFmt w:val="bullet"/>
      <w:suff w:val="tab"/>
      <w:lvlText w:val=""/>
      <w:lvlJc w:val="left"/>
      <w:pPr>
        <w:ind w:left="6828" w:hanging="0"/>
      </w:pPr>
      <w:rPr>
        <w:rFonts w:ascii="Wingdings" w:hAnsi="Wingdings" w:eastAsia="Wingdings" w:cs="Wingdings"/>
      </w:rPr>
    </w:lvl>
  </w:abstractNum>
  <w:abstractNum w:abstractNumId="2">
    <w:multiLevelType w:val="hybridMultilevel"/>
    <w:name w:val="Lista numerada 2"/>
    <w:lvl w:ilvl="0">
      <w:numFmt w:val="bullet"/>
      <w:suff w:val="tab"/>
      <w:lvlText w:val=""/>
      <w:lvlJc w:val="left"/>
      <w:pPr>
        <w:ind w:left="414" w:hanging="0"/>
      </w:pPr>
      <w:rPr>
        <w:rFonts w:ascii="Symbol" w:hAnsi="Symbol" w:eastAsia="Symbol" w:cs="Symbol"/>
      </w:rPr>
    </w:lvl>
    <w:lvl w:ilvl="1">
      <w:numFmt w:val="bullet"/>
      <w:suff w:val="tab"/>
      <w:lvlText w:val="o"/>
      <w:lvlJc w:val="left"/>
      <w:pPr>
        <w:ind w:left="1134" w:hanging="0"/>
      </w:pPr>
      <w:rPr>
        <w:rFonts w:ascii="Courier New" w:hAnsi="Courier New" w:eastAsia="Courier New" w:cs="Courier New"/>
      </w:rPr>
    </w:lvl>
    <w:lvl w:ilvl="2">
      <w:numFmt w:val="bullet"/>
      <w:suff w:val="tab"/>
      <w:lvlText w:val=""/>
      <w:lvlJc w:val="left"/>
      <w:pPr>
        <w:ind w:left="1854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574" w:hanging="0"/>
      </w:pPr>
      <w:rPr>
        <w:rFonts w:ascii="Symbol" w:hAnsi="Symbol" w:eastAsia="Symbol" w:cs="Symbol"/>
      </w:rPr>
    </w:lvl>
    <w:lvl w:ilvl="4">
      <w:numFmt w:val="bullet"/>
      <w:suff w:val="tab"/>
      <w:lvlText w:val="o"/>
      <w:lvlJc w:val="left"/>
      <w:pPr>
        <w:ind w:left="3294" w:hanging="0"/>
      </w:pPr>
      <w:rPr>
        <w:rFonts w:ascii="Courier New" w:hAnsi="Courier New" w:eastAsia="Courier New" w:cs="Courier New"/>
      </w:rPr>
    </w:lvl>
    <w:lvl w:ilvl="5">
      <w:numFmt w:val="bullet"/>
      <w:suff w:val="tab"/>
      <w:lvlText w:val=""/>
      <w:lvlJc w:val="left"/>
      <w:pPr>
        <w:ind w:left="4014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734" w:hanging="0"/>
      </w:pPr>
      <w:rPr>
        <w:rFonts w:ascii="Symbol" w:hAnsi="Symbol" w:eastAsia="Symbol" w:cs="Symbol"/>
      </w:rPr>
    </w:lvl>
    <w:lvl w:ilvl="7">
      <w:numFmt w:val="bullet"/>
      <w:suff w:val="tab"/>
      <w:lvlText w:val="o"/>
      <w:lvlJc w:val="left"/>
      <w:pPr>
        <w:ind w:left="5454" w:hanging="0"/>
      </w:pPr>
      <w:rPr>
        <w:rFonts w:ascii="Courier New" w:hAnsi="Courier New" w:eastAsia="Courier New" w:cs="Courier New"/>
      </w:rPr>
    </w:lvl>
    <w:lvl w:ilvl="8">
      <w:numFmt w:val="bullet"/>
      <w:suff w:val="tab"/>
      <w:lvlText w:val=""/>
      <w:lvlJc w:val="left"/>
      <w:pPr>
        <w:ind w:left="6174" w:hanging="0"/>
      </w:pPr>
      <w:rPr>
        <w:rFonts w:ascii="Wingdings" w:hAnsi="Wingdings" w:eastAsia="Wingdings" w:cs="Wingdings"/>
      </w:rPr>
    </w:lvl>
  </w:abstractNum>
  <w:abstractNum w:abstractNumId="3">
    <w:multiLevelType w:val="hybridMultilevel"/>
    <w:name w:val="Lista numerada 3"/>
    <w:lvl w:ilvl="0">
      <w:numFmt w:val="bullet"/>
      <w:suff w:val="tab"/>
      <w:lvlText w:val=""/>
      <w:lvlJc w:val="left"/>
      <w:pPr>
        <w:ind w:left="142" w:hanging="0"/>
      </w:pPr>
      <w:rPr>
        <w:rFonts w:ascii="Symbol" w:hAnsi="Symbol" w:eastAsia="Calibri" w:cs="Symbol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eastAsia="Courier New" w:cs="Courier New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520" w:hanging="0"/>
      </w:pPr>
      <w:rPr>
        <w:rFonts w:ascii="Symbol" w:hAnsi="Symbol" w:eastAsia="Symbol" w:cs="Symbol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eastAsia="Courier New" w:cs="Courier New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680" w:hanging="0"/>
      </w:pPr>
      <w:rPr>
        <w:rFonts w:ascii="Symbol" w:hAnsi="Symbol" w:eastAsia="Symbol" w:cs="Symbol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eastAsia="Courier New" w:cs="Courier New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2049"/>
    <o:shapelayout v:ext="edit">
      <o:rules v:ext="edit"/>
    </o:shapelayout>
  </w:shapeDefaults>
  <w:tmPrefOne w:val="17"/>
  <w:tmPrefTwo w:val="1"/>
  <w:tmFmtPref w:val="189283691"/>
  <w:tmCommentsPr>
    <w:tmCommentsPlace w:val="0"/>
    <w:tmCommentsWidth w:val="3119"/>
    <w:tmCommentsColor w:val="-1"/>
  </w:tmCommentsPr>
  <w:tmReviewPr>
    <w:tmReviewEnabled w:val="0"/>
    <w:tmReviewShow w:val="1"/>
    <w:tmReviewPrint w:val="1"/>
    <w:tmRevisionNum w:val="32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14"/>
    <w:tmLastPosSelect w:val="0"/>
    <w:tmLastPosFrameIdx w:val="0"/>
    <w:tmLastPosCaret>
      <w:tmLastPosPgfIdx w:val="209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563821619" w:val="96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0"/>
        <w:szCs w:val="20"/>
        <w:lang w:val="pt-br" w:eastAsia="zh-cn" w:bidi="ar-sa"/>
      </w:rPr>
    </w:rPrDefault>
    <w:pPrDefault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imes New Roman" w:hAnsi="Times New Roman" w:eastAsia="Times New Roman"/>
      <w:sz w:val="22"/>
      <w:szCs w:val="22"/>
      <w:lang w:val="pt-br" w:bidi="ar-sa"/>
    </w:rPr>
  </w:style>
  <w:style w:type="paragraph" w:styleId="para1">
    <w:name w:val="List Paragraph"/>
    <w:qFormat/>
    <w:basedOn w:val="para0"/>
    <w:pPr>
      <w:ind w:left="720"/>
      <w:contextualSpacing/>
    </w:pPr>
  </w:style>
  <w:style w:type="paragraph" w:styleId="para2">
    <w:name w:val="Body Text 2"/>
    <w:qFormat/>
    <w:basedOn w:val="para0"/>
    <w:pPr>
      <w:spacing/>
      <w:jc w:val="both"/>
      <w:tabs defTabSz="708">
        <w:tab w:val="left" w:pos="2496" w:leader="none"/>
      </w:tabs>
    </w:pPr>
    <w:rPr>
      <w:rFonts w:ascii="Arial" w:hAnsi="Arial" w:cs="Arial"/>
      <w:sz w:val="24"/>
      <w:szCs w:val="20"/>
      <w:lang w:val="pt-pt"/>
    </w:rPr>
  </w:style>
  <w:style w:type="paragraph" w:styleId="para3">
    <w:name w:val="Header"/>
    <w:qFormat/>
    <w:basedOn w:val="para0"/>
    <w:pPr>
      <w:tabs defTabSz="708">
        <w:tab w:val="center" w:pos="4252" w:leader="none"/>
        <w:tab w:val="right" w:pos="8504" w:leader="none"/>
      </w:tabs>
    </w:pPr>
  </w:style>
  <w:style w:type="paragraph" w:styleId="para4">
    <w:name w:val="Footer"/>
    <w:qFormat/>
    <w:basedOn w:val="para0"/>
    <w:pPr>
      <w:tabs defTabSz="708">
        <w:tab w:val="center" w:pos="4252" w:leader="none"/>
        <w:tab w:val="right" w:pos="8504" w:leader="none"/>
      </w:tabs>
    </w:pPr>
  </w:style>
  <w:style w:type="paragraph" w:styleId="para5">
    <w:name w:val="heading 3"/>
    <w:qFormat/>
    <w:basedOn w:val="para0"/>
    <w:next w:val="para0"/>
    <w:pPr>
      <w:ind w:left="352"/>
      <w:spacing w:before="120"/>
      <w:jc w:val="both"/>
      <w:keepNext/>
      <w:outlineLvl w:val="2"/>
      <w:tabs defTabSz="709"/>
      <w:pBdr>
        <w:top w:val="nil" w:sz="0" w:space="3" w:color="000000" tmln="20, 20, 20, 0, 60"/>
        <w:left w:val="nil" w:sz="0" w:space="3" w:color="000000" tmln="20, 20, 20, 0, 60"/>
        <w:bottom w:val="nil" w:sz="0" w:space="3" w:color="000000" tmln="20, 20, 20, 0, 60"/>
        <w:right w:val="nil" w:sz="0" w:space="3" w:color="000000" tmln="20, 20, 20, 0, 60"/>
        <w:between w:val="nil" w:sz="0" w:space="0" w:color="000000" tmln="20, 20, 20, 0, 0"/>
      </w:pBdr>
      <w:shd w:val="none"/>
    </w:pPr>
    <w:rPr>
      <w:b/>
      <w:sz w:val="24"/>
      <w:szCs w:val="20"/>
      <w:lang w:eastAsia="zh-cn"/>
    </w:rPr>
  </w:style>
  <w:style w:type="character" w:styleId="char0" w:default="1">
    <w:name w:val="Default Paragraph Font"/>
  </w:style>
  <w:style w:type="character" w:styleId="char1" w:customStyle="1">
    <w:name w:val="Corpo de texto 2 Char"/>
    <w:rPr>
      <w:rFonts w:ascii="Arial" w:hAnsi="Arial" w:eastAsia="Times New Roman" w:cs="Times New Roman"/>
      <w:sz w:val="24"/>
      <w:szCs w:val="20"/>
      <w:lang w:val="pt-pt"/>
    </w:rPr>
  </w:style>
  <w:style w:type="character" w:styleId="char2" w:customStyle="1">
    <w:name w:val="Cabeçalho Char"/>
    <w:rPr>
      <w:rFonts w:ascii="Times New Roman" w:hAnsi="Times New Roman" w:eastAsia="Times New Roman" w:cs="Times New Roman"/>
    </w:rPr>
  </w:style>
  <w:style w:type="character" w:styleId="char3" w:customStyle="1">
    <w:name w:val="Rodapé Char"/>
    <w:rPr>
      <w:rFonts w:ascii="Times New Roman" w:hAnsi="Times New Roman" w:eastAsia="Times New Roman" w:cs="Times New Roman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0"/>
        <w:szCs w:val="20"/>
        <w:lang w:val="pt-br" w:eastAsia="zh-cn" w:bidi="ar-sa"/>
      </w:rPr>
    </w:rPrDefault>
    <w:pPrDefault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imes New Roman" w:hAnsi="Times New Roman" w:eastAsia="Times New Roman"/>
      <w:sz w:val="22"/>
      <w:szCs w:val="22"/>
      <w:lang w:val="pt-br" w:bidi="ar-sa"/>
    </w:rPr>
  </w:style>
  <w:style w:type="paragraph" w:styleId="para1">
    <w:name w:val="List Paragraph"/>
    <w:qFormat/>
    <w:basedOn w:val="para0"/>
    <w:pPr>
      <w:ind w:left="720"/>
      <w:contextualSpacing/>
    </w:pPr>
  </w:style>
  <w:style w:type="paragraph" w:styleId="para2">
    <w:name w:val="Body Text 2"/>
    <w:qFormat/>
    <w:basedOn w:val="para0"/>
    <w:pPr>
      <w:spacing/>
      <w:jc w:val="both"/>
      <w:tabs defTabSz="708">
        <w:tab w:val="left" w:pos="2496" w:leader="none"/>
      </w:tabs>
    </w:pPr>
    <w:rPr>
      <w:rFonts w:ascii="Arial" w:hAnsi="Arial" w:cs="Arial"/>
      <w:sz w:val="24"/>
      <w:szCs w:val="20"/>
      <w:lang w:val="pt-pt"/>
    </w:rPr>
  </w:style>
  <w:style w:type="paragraph" w:styleId="para3">
    <w:name w:val="Header"/>
    <w:qFormat/>
    <w:basedOn w:val="para0"/>
    <w:pPr>
      <w:tabs defTabSz="708">
        <w:tab w:val="center" w:pos="4252" w:leader="none"/>
        <w:tab w:val="right" w:pos="8504" w:leader="none"/>
      </w:tabs>
    </w:pPr>
  </w:style>
  <w:style w:type="paragraph" w:styleId="para4">
    <w:name w:val="Footer"/>
    <w:qFormat/>
    <w:basedOn w:val="para0"/>
    <w:pPr>
      <w:tabs defTabSz="708">
        <w:tab w:val="center" w:pos="4252" w:leader="none"/>
        <w:tab w:val="right" w:pos="8504" w:leader="none"/>
      </w:tabs>
    </w:pPr>
  </w:style>
  <w:style w:type="paragraph" w:styleId="para5">
    <w:name w:val="heading 3"/>
    <w:qFormat/>
    <w:basedOn w:val="para0"/>
    <w:next w:val="para0"/>
    <w:pPr>
      <w:ind w:left="352"/>
      <w:spacing w:before="120"/>
      <w:jc w:val="both"/>
      <w:keepNext/>
      <w:outlineLvl w:val="2"/>
      <w:tabs defTabSz="709"/>
      <w:pBdr>
        <w:top w:val="nil" w:sz="0" w:space="3" w:color="000000" tmln="20, 20, 20, 0, 60"/>
        <w:left w:val="nil" w:sz="0" w:space="3" w:color="000000" tmln="20, 20, 20, 0, 60"/>
        <w:bottom w:val="nil" w:sz="0" w:space="3" w:color="000000" tmln="20, 20, 20, 0, 60"/>
        <w:right w:val="nil" w:sz="0" w:space="3" w:color="000000" tmln="20, 20, 20, 0, 60"/>
        <w:between w:val="nil" w:sz="0" w:space="0" w:color="000000" tmln="20, 20, 20, 0, 0"/>
      </w:pBdr>
      <w:shd w:val="none"/>
    </w:pPr>
    <w:rPr>
      <w:b/>
      <w:sz w:val="24"/>
      <w:szCs w:val="20"/>
      <w:lang w:eastAsia="zh-cn"/>
    </w:rPr>
  </w:style>
  <w:style w:type="character" w:styleId="char0" w:default="1">
    <w:name w:val="Default Paragraph Font"/>
  </w:style>
  <w:style w:type="character" w:styleId="char1" w:customStyle="1">
    <w:name w:val="Corpo de texto 2 Char"/>
    <w:rPr>
      <w:rFonts w:ascii="Arial" w:hAnsi="Arial" w:eastAsia="Times New Roman" w:cs="Times New Roman"/>
      <w:sz w:val="24"/>
      <w:szCs w:val="20"/>
      <w:lang w:val="pt-pt"/>
    </w:rPr>
  </w:style>
  <w:style w:type="character" w:styleId="char2" w:customStyle="1">
    <w:name w:val="Cabeçalho Char"/>
    <w:rPr>
      <w:rFonts w:ascii="Times New Roman" w:hAnsi="Times New Roman" w:eastAsia="Times New Roman" w:cs="Times New Roman"/>
    </w:rPr>
  </w:style>
  <w:style w:type="character" w:styleId="char3" w:customStyle="1">
    <w:name w:val="Rodapé Char"/>
    <w:rPr>
      <w:rFonts w:ascii="Times New Roman" w:hAnsi="Times New Roman" w:eastAsia="Times New Roman" w:cs="Times New Roman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jpeg"/><Relationship Id="rId9" Type="http://schemas.openxmlformats.org/officeDocument/2006/relationships/header" Target="head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rev.966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/>
  <cp:revision>32</cp:revision>
  <cp:lastPrinted>2019-07-22T18:53:53Z</cp:lastPrinted>
  <dcterms:created xsi:type="dcterms:W3CDTF">2019-07-12T10:58:00Z</dcterms:created>
  <dcterms:modified xsi:type="dcterms:W3CDTF">2019-07-22T18:53:39Z</dcterms:modified>
</cp:coreProperties>
</file>