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both"/>
        <w:widowControl w:val="0"/>
        <w:rPr>
          <w:rFonts w:ascii="Arial" w:hAnsi="Arial" w:cs="Arial"/>
          <w:b/>
          <w:bCs/>
          <w:color w:val="000000"/>
          <w:sz w:val="24"/>
          <w:szCs w:val="24"/>
        </w:rPr>
      </w:pPr>
      <w:r>
        <w:rPr>
          <w:rFonts w:ascii="Arial" w:hAnsi="Arial" w:cs="Arial"/>
          <w:b/>
          <w:bCs/>
          <w:color w:val="000000"/>
          <w:sz w:val="24"/>
          <w:szCs w:val="24"/>
        </w:rPr>
      </w:r>
    </w:p>
    <w:p>
      <w:pPr>
        <w:spacing w:after="0" w:line="240" w:lineRule="auto"/>
        <w:jc w:val="both"/>
        <w:widowControl w:val="0"/>
        <w:rPr>
          <w:rFonts w:ascii="Arial" w:hAnsi="Arial" w:cs="Arial"/>
          <w:b/>
          <w:bCs/>
          <w:color w:val="000000"/>
          <w:sz w:val="24"/>
          <w:szCs w:val="24"/>
        </w:rPr>
      </w:pPr>
      <w:r>
        <w:rPr>
          <w:rFonts w:ascii="Arial" w:hAnsi="Arial" w:cs="Arial"/>
          <w:b/>
          <w:bCs/>
          <w:color w:val="000000"/>
          <w:sz w:val="24"/>
          <w:szCs w:val="24"/>
        </w:rPr>
        <w:t>Ata de Realização do Pregão Presencial para Registro de Preços n° 29/2019 de São Domingos do Norte/ES</w:t>
      </w:r>
    </w:p>
    <w:p>
      <w:pPr>
        <w:spacing w:after="0" w:line="240" w:lineRule="auto"/>
        <w:jc w:val="center"/>
        <w:widowControl w:val="0"/>
        <w:rPr>
          <w:rFonts w:ascii="Arial" w:hAnsi="Arial" w:cs="Arial"/>
          <w:b/>
          <w:bCs/>
          <w:color w:val="000000"/>
          <w:sz w:val="24"/>
          <w:szCs w:val="24"/>
        </w:rPr>
      </w:pPr>
      <w:r>
        <w:rPr>
          <w:rFonts w:ascii="Arial" w:hAnsi="Arial" w:cs="Arial"/>
          <w:b/>
          <w:bCs/>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 xml:space="preserve">Aos vinte e nove dias do mês de agosto do ano de dois mil e dezenove, ás 09h00 horas, na sala de sessões públicas da Prefeitura Municipal, situada na Rodovia Gether Lopes de Farias - Bairro Emilio Calegari, cidade de São Domingos do Norte/ES, CEP: 29745-000 nos termos do art. 15 da Lei Federal 8.666, de 21 de junho de 1993, Decreto Federal 3.555/00, </w:t>
      </w:r>
      <w:r>
        <w:rPr>
          <w:rFonts w:ascii="Arial" w:hAnsi="Arial" w:eastAsia="Arial" w:cs="Arial"/>
          <w:color w:val="000000"/>
          <w:kern w:val="1"/>
          <w:sz w:val="24"/>
          <w:szCs w:val="24"/>
        </w:rPr>
        <w:t xml:space="preserve">Decreto Federal 9.488/2018 e Decreto Municipal 1.663 de 11 de junho de 2019 </w:t>
      </w:r>
      <w:r>
        <w:rPr>
          <w:rFonts w:ascii="Arial" w:hAnsi="Arial" w:cs="Arial"/>
          <w:color w:val="000000"/>
          <w:sz w:val="24"/>
          <w:szCs w:val="24"/>
        </w:rPr>
        <w:t xml:space="preserve">com as alterações nela inseridas e demais normas legais aplicáveis, em face da classificação das propostas apresentadas no </w:t>
      </w:r>
      <w:r>
        <w:rPr>
          <w:rFonts w:ascii="Arial" w:hAnsi="Arial" w:cs="Arial"/>
          <w:b/>
          <w:bCs/>
          <w:color w:val="000000"/>
          <w:sz w:val="24"/>
          <w:szCs w:val="24"/>
        </w:rPr>
        <w:t>Processo n.º 3379/2019,</w:t>
      </w:r>
      <w:r>
        <w:rPr>
          <w:rFonts w:ascii="Arial" w:hAnsi="Arial" w:cs="Arial"/>
          <w:color w:val="000000"/>
          <w:sz w:val="24"/>
          <w:szCs w:val="24"/>
        </w:rPr>
        <w:t xml:space="preserve"> </w:t>
      </w:r>
      <w:r>
        <w:rPr>
          <w:rFonts w:ascii="Arial" w:hAnsi="Arial" w:cs="Arial"/>
          <w:b/>
          <w:bCs/>
          <w:color w:val="000000"/>
          <w:sz w:val="24"/>
          <w:szCs w:val="24"/>
        </w:rPr>
        <w:t>realizado na modalidade Pregão Presencial para Registro de Preços nº 29/2019 de São Domingos do Norte</w:t>
      </w:r>
      <w:r>
        <w:rPr>
          <w:rFonts w:ascii="Arial" w:hAnsi="Arial" w:cs="Arial"/>
          <w:color w:val="000000"/>
          <w:sz w:val="24"/>
          <w:szCs w:val="24"/>
        </w:rPr>
        <w:t>, por deliberação do pregoeiro, foram registrados os preços para eventual e futura Aquisição de materiais de consumo lanches e outros que serão utilizados e consumidos  em reuniões, cursos, colônia de férias,  recepções de autoridades e celebridades, nas datas comemorativas, nos Projetos, inaugurações,  e  na realização de outros Eventos celebrados pelo Gabinete, e pelas diversas Secretarias desta Prefeitura Municipal de São Domingos do Norte/ES,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neste edital. Ficou, portanto, em decorrência da classificação no certame, registrada os preços dos materiais a seguir tipificados:</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R$ 2.515,80, Cleice Aparecida Thon Pereira - ME lance R$ 2.478,00.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R$ 2.473,80.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R$ 2.457,00. Declinaram da fase de lances as empresas Cleice Aparecida Thon Pereira - ME e Santa Rosa Comercio de Produtos Alimentícios LTDA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R$ 2.457,00 (dois mil quatrocentos e cinquenta e sete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R$ 7.905,00.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R$ 7.905,00 (sete mil novecentos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R$ 6.225,00.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R$ 6.225,00 (seis mil duzentos e vinte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R$ 98.875,00. Declinou da fase de lances a empresa Cleice Aparecida Thon Pereira -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R$ 98.875,00 (noventa e oito mil oitocentos e setenta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lance R$ 106.894,00, Tatiane dos Santos Tiburcio ME lance R$ 106.857,14.</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lance R$ 99.522,00, Tatiane dos Santos Tiburcio ME lance R$ 99.485,14.</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lance R$ 98.600,50, Tatiane dos Santos Tiburcio ME lance R$ 98.563,64.</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lance R$ 97.679,00, Tatiane dos Santos Tiburcio ME lance R$ 97.642,14.</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R$ 97.605,28.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R$ 97.605,28 (noventa e sete mil seiscentos e cinco reais e vinte e oito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R$ 16.224,00.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R$ 16.224,00 (dezesseis mil duzentos e vinte e quatro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lance R$ 17.184,00.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R$ 16.320,00.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R$ 16.320,00 (dezesseis mil trezentos e vinte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lance R$ 5.658,96, Tatiane dos Santos Tiburcio ME lance R$ 5.631,60.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R$ 5.629,32.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R$ 5.629,32 (cinco mil seiscentos e vinte e nove reais e trinta e dois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lance R$ 3.952,50.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R$ 3.487,50.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R$ 3.487,50 (três mil quatrocentos e oitenta e sete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lance R$ 3.720,40.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R$ 3.351,20.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R$ 3.351,20 (três mil trezentos e cinquenta e um reais e vinte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lance R$ 57.195,00.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R$ 54.250,00.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R$ 54.250,00 (cinquenta e quatro mil duzentos e cinquenta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R$ 18.148,00, Cleice Aparecida Thon Pereira - ME lance R$ 18.142,80.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R$ 17.680,00.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R$ 17.680,00 (dezessete mil seiscentos e oitenta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lance R$ 16.395,00.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R$ 16.000,00.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R$ 16.000,00 (dezesseis mil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lance R$ 16.395,00.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R$ 16.000,00.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R$ 16.000,00 (dezesseis mil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R$ 13.475,00.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R$ 13.475,00 (treze mil quatrocentos e setenta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lance R$ 23.205,00.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R$ 21.420,00.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R$ 21.420,00 (vinte e um mil quatrocentos e vinte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lance R$ 33.283,30.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R$ 30.015,00.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R$ 30.015,00 (trinta mil quinze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lance R$ 22.400,00.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R$ 20.300,00.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R$ 20.300,00 (vinte mil trezentos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lance R$ 18.592,50.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R$ 18.375,00. Declinou da fase de lances a empresa Tatiane dos Santos Tiburcio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Cleice Aparecida Thon Pereira - ME 09.513.570/0001-50 foi arrematante com o valor de R$ R$ 18.375,00 (dezoito mil trezentos e setenta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R$ 7.416,60.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20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R$ 7.379,00. Declinaram da fase de lances as empresas Cleice Aparecida Thon Pereira - ME e Santa Rosa Comercio de Produtos Alimentícios LTDA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R$ 7.379,00 (sete mil trezentos e setenta e nove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R$ 21.496,30.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21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R$ 18.942,00. Declinaram da fase de lances as empresas Cleice Aparecida Thon Pereira - ME e Santa Rosa Comercio de Produtos Alimentícios LTDA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R$ 18.942,00 (dezoito mil novecentos e quarenta e dois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R$ 8.255,88, Tatiane dos Santos Tiburcio ME lance R$ 8.242,96. Declinaram da fase de lances as empresas Cleice Aparecida Thon Pereira - ME e Santa Rosa Comercio de Produtos Alimentícios LTDA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R$ 8.242,96 (oito mil duzentos e quarenta e dois reais e noventa e seis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R$ 18.360,00. Declinaram da fase de lances as empresas Cleice Aparecida Thon Pereira - ME e Santa Rosa Comercio de Produtos Alimentícios LTDA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R$ 18.360,00 (dezoito mil trezentos e sessenta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R$ 352,63. Declinaram da fase de lances as empresas Cleice Aparecida Thon Pereira - ME e Santa Rosa Comercio de Produtos Alimentícios LTDA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R$ 352,63 (trezentos e cinquenta e dois reais e sessenta e três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R$ 1.467,75. Declinaram da fase de lances as empresas Cleice Aparecida Thon Pereira - ME e Santa Rosa Comercio de Produtos Alimentícios LTDA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R$ 1.467,75 (um mil quatrocentos e sessenta e sete reais e setenta e cinco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R$ 678,51, Tatiane dos Santos Tiburcio ME lance R$ 676,62. Declinaram da fase de lances as empresas Cleice Aparecida Thon Pereira - ME e Santa Rosa Comercio de Produtos Alimentícios LTDA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R$ 676,62 (seiscentos e setenta e seis reais e sessenta e dois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Cleice Aparecida Thon Pereira - ME lance R$ 1.733,16, Tatiane dos Santos Tiburcio ME lance R$ 1.729,12. Declinaram da fase de lances as empresas Cleice Aparecida Thon Pereira - ME e Santa Rosa Comercio de Produtos Alimentícios LTDA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R$ 1.729,12 (um mil setecentos e vinte e nove reais e doze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R$ 231,12. Declinou da fase de lances a empresa Cleice Aparecida Thon Pereira - ME. Foi desclassificada a empresa Santa Rosa Comercio de Produtos Alimentícios LTDA por "Não cotar todos os itens"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R$ 231,12 (duzentos e trinta e um reais e doze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29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Cleice Aparecida Thon Pereira - ME e Santa Rosa Comercio de Produtos Alimentícios LTDA.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R$ 795,00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R$ 795,00 (setecentos e noventa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Valor total do certame R$ 524.176,85 quinhentos e vinte e quatro mil cento e setenta e seis reais e oitenta e cinco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RESULTADO DA SESSÃO PÚBLICA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Cleice Aparecida Thon Pereira - ME </w:t>
      </w:r>
      <w:r>
        <w:rPr>
          <w:rFonts w:ascii="Arial" w:hAnsi="Arial" w:eastAsia="Arial" w:cs="Arial"/>
          <w:color w:val="000000"/>
          <w:kern w:val="1"/>
          <w:sz w:val="24"/>
          <w:szCs w:val="24"/>
          <w:lang w:eastAsia="zh-cn" w:bidi="ar-sa"/>
        </w:rPr>
        <w:t xml:space="preserve">nos </w:t>
      </w:r>
      <w:r>
        <w:rPr>
          <w:rFonts w:ascii="Arial" w:hAnsi="Arial" w:eastAsia="Arial" w:cs="Arial"/>
          <w:b/>
          <w:bCs/>
          <w:color w:val="000000"/>
          <w:kern w:val="1"/>
          <w:sz w:val="24"/>
          <w:szCs w:val="24"/>
          <w:lang w:eastAsia="zh-cn" w:bidi="ar-sa"/>
        </w:rPr>
        <w:t>lotes 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18</w:t>
      </w:r>
      <w:r>
        <w:rPr>
          <w:rFonts w:ascii="Arial" w:hAnsi="Arial" w:eastAsia="Arial" w:cs="Arial"/>
          <w:color w:val="000000"/>
          <w:kern w:val="1"/>
          <w:sz w:val="24"/>
          <w:szCs w:val="24"/>
          <w:lang w:eastAsia="zh-cn" w:bidi="ar-sa"/>
        </w:rPr>
        <w:t xml:space="preserve"> e </w:t>
      </w:r>
      <w:r>
        <w:rPr>
          <w:rFonts w:ascii="Arial" w:hAnsi="Arial" w:eastAsia="Arial" w:cs="Arial"/>
          <w:b/>
          <w:bCs/>
          <w:color w:val="000000"/>
          <w:kern w:val="1"/>
          <w:sz w:val="24"/>
          <w:szCs w:val="24"/>
          <w:lang w:eastAsia="zh-cn" w:bidi="ar-sa"/>
        </w:rPr>
        <w:t xml:space="preserve">19 </w:t>
      </w:r>
      <w:r>
        <w:rPr>
          <w:rFonts w:ascii="Arial" w:hAnsi="Arial" w:eastAsia="Arial" w:cs="Arial"/>
          <w:color w:val="000000"/>
          <w:kern w:val="1"/>
          <w:sz w:val="24"/>
          <w:szCs w:val="24"/>
          <w:lang w:eastAsia="zh-cn" w:bidi="ar-sa"/>
        </w:rPr>
        <w:t xml:space="preserve">no valor total de </w:t>
      </w:r>
      <w:r>
        <w:rPr>
          <w:rFonts w:ascii="Arial" w:hAnsi="Arial" w:eastAsia="Arial" w:cs="Arial"/>
          <w:b/>
          <w:bCs/>
          <w:color w:val="000000"/>
          <w:kern w:val="1"/>
          <w:sz w:val="24"/>
          <w:szCs w:val="24"/>
          <w:lang w:eastAsia="zh-cn" w:bidi="ar-sa"/>
        </w:rPr>
        <w:t xml:space="preserve">R$ 364.262,30 </w:t>
      </w:r>
      <w:r>
        <w:rPr>
          <w:rFonts w:ascii="Arial" w:hAnsi="Arial" w:eastAsia="Arial" w:cs="Arial"/>
          <w:color w:val="000000"/>
          <w:kern w:val="1"/>
          <w:sz w:val="24"/>
          <w:szCs w:val="24"/>
          <w:lang w:eastAsia="zh-cn" w:bidi="ar-sa"/>
        </w:rPr>
        <w:t xml:space="preserve">(trezentos e sessenta e quatro mil duzentos e sessenta e dois reais e trinta centavos) e </w:t>
      </w:r>
      <w:r>
        <w:rPr>
          <w:rFonts w:ascii="Arial" w:hAnsi="Arial" w:eastAsia="Arial" w:cs="Arial"/>
          <w:b/>
          <w:bCs/>
          <w:color w:val="000000"/>
          <w:kern w:val="1"/>
          <w:sz w:val="24"/>
          <w:szCs w:val="24"/>
          <w:lang w:eastAsia="zh-cn" w:bidi="ar-sa"/>
        </w:rPr>
        <w:t xml:space="preserve">Tatiane dos Santos Tiburcio ME </w:t>
      </w:r>
      <w:r>
        <w:rPr>
          <w:rFonts w:ascii="Arial" w:hAnsi="Arial" w:eastAsia="Arial" w:cs="Arial"/>
          <w:color w:val="000000"/>
          <w:kern w:val="1"/>
          <w:sz w:val="24"/>
          <w:szCs w:val="24"/>
          <w:lang w:eastAsia="zh-cn" w:bidi="ar-sa"/>
        </w:rPr>
        <w:t xml:space="preserve">nos </w:t>
      </w:r>
      <w:r>
        <w:rPr>
          <w:rFonts w:ascii="Arial" w:hAnsi="Arial" w:eastAsia="Arial" w:cs="Arial"/>
          <w:b/>
          <w:bCs/>
          <w:color w:val="000000"/>
          <w:kern w:val="1"/>
          <w:sz w:val="24"/>
          <w:szCs w:val="24"/>
          <w:lang w:eastAsia="zh-cn" w:bidi="ar-sa"/>
        </w:rPr>
        <w:t>lotes 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29</w:t>
      </w:r>
      <w:r>
        <w:rPr>
          <w:rFonts w:ascii="Arial" w:hAnsi="Arial" w:eastAsia="Arial" w:cs="Arial"/>
          <w:color w:val="000000"/>
          <w:kern w:val="1"/>
          <w:sz w:val="24"/>
          <w:szCs w:val="24"/>
          <w:lang w:eastAsia="zh-cn" w:bidi="ar-sa"/>
        </w:rPr>
        <w:t xml:space="preserve"> e </w:t>
      </w:r>
      <w:r>
        <w:rPr>
          <w:rFonts w:ascii="Arial" w:hAnsi="Arial" w:eastAsia="Arial" w:cs="Arial"/>
          <w:b/>
          <w:bCs/>
          <w:color w:val="000000"/>
          <w:kern w:val="1"/>
          <w:sz w:val="24"/>
          <w:szCs w:val="24"/>
          <w:lang w:eastAsia="zh-cn" w:bidi="ar-sa"/>
        </w:rPr>
        <w:t xml:space="preserve">30 </w:t>
      </w:r>
      <w:r>
        <w:rPr>
          <w:rFonts w:ascii="Arial" w:hAnsi="Arial" w:eastAsia="Arial" w:cs="Arial"/>
          <w:color w:val="000000"/>
          <w:kern w:val="1"/>
          <w:sz w:val="24"/>
          <w:szCs w:val="24"/>
          <w:lang w:eastAsia="zh-cn" w:bidi="ar-sa"/>
        </w:rPr>
        <w:t xml:space="preserve">no valor total de </w:t>
      </w:r>
      <w:r>
        <w:rPr>
          <w:rFonts w:ascii="Arial" w:hAnsi="Arial" w:eastAsia="Arial" w:cs="Arial"/>
          <w:b/>
          <w:bCs/>
          <w:color w:val="000000"/>
          <w:kern w:val="1"/>
          <w:sz w:val="24"/>
          <w:szCs w:val="24"/>
          <w:lang w:eastAsia="zh-cn" w:bidi="ar-sa"/>
        </w:rPr>
        <w:t xml:space="preserve">R$ 159.914,55 </w:t>
      </w:r>
      <w:r>
        <w:rPr>
          <w:rFonts w:ascii="Arial" w:hAnsi="Arial" w:eastAsia="Arial" w:cs="Arial"/>
          <w:color w:val="000000"/>
          <w:kern w:val="1"/>
          <w:sz w:val="24"/>
          <w:szCs w:val="24"/>
          <w:lang w:eastAsia="zh-cn" w:bidi="ar-sa"/>
        </w:rPr>
        <w:t>(cento e cinquenta e nove mil novecentos e quatorze reais e cinquenta e cinco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Foi devolvido o envelope de habilitação da empresa Santa Rosa Comércio de Produtos Alimentícios LTDA protocolado sob nº 4189/2019.</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 - ME nos lotes 1 por "Declínio de lance", 4 por "Declínio de lance", 20 por "Declínio de lance", 21 por "Declínio de lance", 22 por "Declínio de lance", 23 por "Declínio de lance", 24 por "Declínio de lance", 25 por "Declínio de lance", 26 por "Declínio de lance", 27 por "Declínio de lance", 28 por "Declínio de lance", 29 por "Declínio de lance" e 30 por "Declínio de lance", Santa Rosa Comercio de Produtos Alimentícios LTDA nos lotes 1 por "Declínio de lance", 2 por "Não cotar todos os itens", 3 por "Não cotar todos os itens", 4 por "Não cotar todos os itens", 5 por "Não cotar todos os itens", 6 por "Não cotar todos os itens", 7 por "Não cotar todos os itens", 8 por "Não cotar todos os itens", 9 por "Não cotar todos os itens", 10 por "Não cotar todos os itens", 11 por "Não cotar todos os itens", 12 por "Não cotar todos os itens", 13 por "Não cotar todos os itens", 14 por "Não cotar todos os itens", 15 por "Não cotar todos os itens", 16 por "Não cotar todos os itens", 17 por "Não cotar todos os itens", 18 por "Não cotar todos os itens", 19 por "Não cotar todos os itens", 20 por "Declínio de lance", 21 por "Declínio de lance", 22 por "Declínio de lance", 23 por "Declínio de lance", 24 por "Declínio de lance", 25 por "Declínio de lance", 26 por "Declínio de lance", 27 por "Declínio de lance", 28 por "Não cotar todos os itens", 29 por "Declínio de lance" e 30 por "Declínio de lance" e Tatiane dos Santos Tiburcio ME nos lotes 2 por "Declínio de lance", 3 por "Declínio de lance", 5 por "Declínio de lance", 6 por "Declínio de lance", 7 por "Declínio de lance", 8 por "Declínio de lance", 9 por "Declínio de lance", 10 por "Declínio de lance", 11 por "Declínio de lance", 12 por "Declínio de lance", 13 por "Declínio de lance", 14 por "Declínio de lance", 15 por "Declínio de lance", 16 por "Declínio de lance", 17 por "Declínio de lance", 18 por "Declínio de lance" e 19 por "Declínio de lance"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Vinte e nove dias do mês de agosto do ano de dois mil e dezenove.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Reinaldo Basileu Guareschi (Pregoeiro)</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Evanderson Aragão Colombo (Membro)</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Lucia Claudia Pestana Giovanelli (Membro)</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Ricardo Vieira da Silva (Membro)</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Maria Aparecida Alves (Membro)</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Paulo César Bruni (Membro)</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Cleice Aparecida Thon Pereira - 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Cleice Aparecida Thon Pereira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Santa Rosa Comercio de Produtos Alimentícios LTDA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Welinton Gonçalves Campos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Tatiane dos Santos Tiburcio 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Amaro Martins dos Santos </w:t>
      </w:r>
    </w:p>
    <w:sectPr>
      <w:footnotePr>
        <w:pos w:val="pageBottom"/>
        <w:numFmt w:val="decimal"/>
        <w:numStart w:val="1"/>
        <w:numRestart w:val="continuous"/>
      </w:footnotePr>
      <w:endnotePr>
        <w:pos w:val="docEnd"/>
        <w:numFmt w:val="decimal"/>
        <w:numStart w:val="1"/>
        <w:numRestart w:val="continuous"/>
      </w:endnotePr>
      <w:headerReference w:type="default" r:id="rId7"/>
      <w:footerReference w:type="default" r:id="rId8"/>
      <w:type w:val="nextPage"/>
      <w:pgSz w:h="15840" w:w="12240"/>
      <w:pgMar w:left="1701" w:top="1417" w:right="1701" w:bottom="1417" w:footer="0"/>
      <w:paperSrc w:first="7" w:other="7" a="0" b="0"/>
      <w:pgNumType w:fmt="decimal"/>
      <w:tmGutter w:val="3"/>
      <w:mirrorMargins w:val="0"/>
      <w:tmSection w:h="-2">
        <w:tmHeader w:id="0" w:h="0" edge="720" text="0">
          <w:shd w:val="none"/>
        </w:tmHeader>
        <w:tmFooter w:id="0" w:h="0" edge="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Tahoma">
    <w:panose1 w:val="020B0604030504040204"/>
    <w:charset w:val="00"/>
    <w:family w:val="swiss"/>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pP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
      <w:spacing/>
      <w:jc w:val="center"/>
      <w:tabs defTabSz="708">
        <w:tab w:val="left" w:pos="1245" w:leader="none"/>
        <w:tab w:val="center" w:pos="4712" w:leader="none"/>
      </w:tabs>
    </w:pPr>
    <w:r>
      <w:rPr>
        <w:noProof/>
      </w:rPr>
      <w:drawing>
        <wp:anchor distT="0" distB="0" distL="114300" distR="114300" simplePos="0" relativeHeight="251658241" behindDoc="0" locked="0" layoutInCell="0" hidden="0" allowOverlap="1">
          <wp:simplePos x="0" y="0"/>
          <wp:positionH relativeFrom="column">
            <wp:posOffset>2103120</wp:posOffset>
          </wp:positionH>
          <wp:positionV relativeFrom="paragraph">
            <wp:posOffset>-264160</wp:posOffset>
          </wp:positionV>
          <wp:extent cx="742950" cy="601345"/>
          <wp:effectExtent l="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pic:cNvPicPr>
                    <a:picLocks noChangeAspect="1"/>
                    <a:extLst>
                      <a:ext uri="smNativeData">
                        <sm:smNativeData xmlns:sm="smNativeData" val="SMDATA_17_adRnXR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AAAAAEKAAAAAAAAAAAAAAAAAAAAIAAADwDAAAAAAAAAIAAABg/v//kgQAALMDAAAAAAAAlRMAADABAAAoAAAACAAAAAEAAAABAAAA"/>
                      </a:ext>
                    </a:extLst>
                  </pic:cNvPicPr>
                </pic:nvPicPr>
                <pic:blipFill>
                  <a:blip r:embed="rId1"/>
                  <a:stretch>
                    <a:fillRect/>
                  </a:stretch>
                </pic:blipFill>
                <pic:spPr>
                  <a:xfrm>
                    <a:off x="0" y="0"/>
                    <a:ext cx="742950" cy="601345"/>
                  </a:xfrm>
                  <a:prstGeom prst="rect">
                    <a:avLst/>
                  </a:prstGeom>
                  <a:solidFill>
                    <a:srgbClr val="FFFFFF"/>
                  </a:solidFill>
                  <a:ln w="9525">
                    <a:noFill/>
                  </a:ln>
                </pic:spPr>
              </pic:pic>
            </a:graphicData>
          </a:graphic>
        </wp:anchor>
      </w:drawing>
    </w:r>
    <w:r/>
  </w:p>
  <w:p>
    <w:pPr>
      <w:pStyle w:val="para1"/>
      <w:spacing/>
      <w:jc w:val="center"/>
      <w:tabs defTabSz="708">
        <w:tab w:val="left" w:pos="1245" w:leader="none"/>
        <w:tab w:val="center" w:pos="4712" w:leader="none"/>
      </w:tabs>
      <w:rPr>
        <w:rFonts w:ascii="Arial" w:hAnsi="Arial" w:cs="Arial"/>
        <w:b w:val="0"/>
        <w:bCs w:val="0"/>
      </w:rPr>
    </w:pPr>
    <w:r>
      <w:rPr>
        <w:rFonts w:ascii="Arial" w:hAnsi="Arial" w:cs="Arial"/>
        <w:b w:val="0"/>
        <w:bCs w:val="0"/>
      </w:rPr>
    </w:r>
  </w:p>
  <w:p>
    <w:pPr>
      <w:pStyle w:val="para1"/>
      <w:spacing/>
      <w:jc w:val="center"/>
      <w:tabs defTabSz="708">
        <w:tab w:val="left" w:pos="1245" w:leader="none"/>
        <w:tab w:val="center" w:pos="4712" w:leader="none"/>
      </w:tabs>
      <w:rPr>
        <w:rFonts w:ascii="Arial" w:hAnsi="Arial" w:cs="Arial"/>
        <w:bCs w:val="0"/>
        <w:sz w:val="22"/>
        <w:szCs w:val="22"/>
      </w:rPr>
    </w:pPr>
    <w:r>
      <w:rPr>
        <w:rFonts w:ascii="Arial" w:hAnsi="Arial" w:cs="Arial"/>
        <w:bCs w:val="0"/>
        <w:sz w:val="22"/>
        <w:szCs w:val="22"/>
      </w:rPr>
      <w:t>Prefeitura Municipal de São Domingos do Norte</w:t>
    </w:r>
  </w:p>
  <w:p>
    <w:pPr>
      <w:spacing w:after="0" w:line="240" w:lineRule="auto"/>
      <w:jc w:val="center"/>
      <w:rPr>
        <w:rFonts w:ascii="Arial" w:hAnsi="Arial" w:cs="Arial"/>
        <w:color w:val="000000"/>
      </w:rPr>
    </w:pPr>
    <w:r>
      <w:rPr>
        <w:rFonts w:ascii="Arial" w:hAnsi="Arial" w:cs="Arial"/>
        <w:color w:val="000000"/>
      </w:rPr>
      <w:t>Rodovia Gether Lopes de Farias - s/nº Bairro Emílio Calegari - São Domingos do Norte/ES – CEP: 29745-000 - Telefax: (027) 3742 0200 - CNPJ 36.350.312/0001-72</w:t>
    </w:r>
  </w:p>
  <w:p>
    <w:pPr>
      <w:pStyle w:val="para2"/>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3"/>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12"/>
    <w:tmReviewMarkIns w:val="4"/>
    <w:tmReviewColorIns w:val="-1"/>
    <w:tmReviewMarkDel w:val="6"/>
    <w:tmReviewColorDel w:val="-1"/>
    <w:tmReviewMarkFmt w:val="1"/>
    <w:tmReviewColorFmt w:val="-1"/>
    <w:tmReviewMarkLn w:val="1"/>
    <w:tmReviewColorLn w:val="0"/>
    <w:tmReviewToolTip w:val="1"/>
  </w:tmReviewPr>
  <w:tmLastPos>
    <w:tmLastPosPage w:val="0"/>
    <w:tmLastPosSelect w:val="0"/>
    <w:tmLastPosFrameIdx w:val="0"/>
    <w:tmLastPosCaret>
      <w:tmLastPosPgfIdx w:val="1"/>
      <w:tmLastPosIdx w:val="0"/>
    </w:tmLastPosCaret>
    <w:tmLastPosAnchor>
      <w:tmLastPosPgfIdx w:val="0"/>
      <w:tmLastPosIdx w:val="0"/>
    </w:tmLastPosAnchor>
    <w:tmLastPosTblRect w:left="0" w:top="0" w:right="0" w:bottom="0"/>
  </w:tmLastPos>
  <w:tmAppRevision w:date="1567085673" w:val="966"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3"/>
    <w:qFormat/>
    <w:basedOn w:val="para0"/>
    <w:next w:val="para0"/>
    <w:pPr>
      <w:spacing w:after="0" w:line="240" w:lineRule="auto"/>
      <w:keepNext/>
      <w:outlineLvl w:val="2"/>
    </w:pPr>
    <w:rPr>
      <w:rFonts w:ascii="Times New Roman" w:hAnsi="Times New Roman" w:eastAsia="Times New Roman"/>
      <w:b/>
      <w:bCs/>
      <w:color w:val="000000"/>
      <w:sz w:val="24"/>
      <w:szCs w:val="24"/>
    </w:rPr>
  </w:style>
  <w:style w:type="paragraph" w:styleId="para2">
    <w:name w:val="Header"/>
    <w:qFormat/>
    <w:basedOn w:val="para0"/>
    <w:pPr>
      <w:spacing w:after="0" w:line="240" w:lineRule="auto"/>
      <w:tabs defTabSz="708">
        <w:tab w:val="center" w:pos="4252" w:leader="none"/>
        <w:tab w:val="right" w:pos="8504" w:leader="none"/>
      </w:tabs>
    </w:pPr>
  </w:style>
  <w:style w:type="paragraph" w:styleId="para3">
    <w:name w:val="Footer"/>
    <w:qFormat/>
    <w:basedOn w:val="para0"/>
    <w:pPr>
      <w:spacing w:after="0" w:line="240" w:lineRule="auto"/>
      <w:tabs defTabSz="708">
        <w:tab w:val="center" w:pos="4252" w:leader="none"/>
        <w:tab w:val="right" w:pos="8504" w:leader="none"/>
      </w:tabs>
    </w:pPr>
  </w:style>
  <w:style w:type="paragraph" w:styleId="para4">
    <w:name w:val="Balloon Text"/>
    <w:qFormat/>
    <w:basedOn w:val="para0"/>
    <w:pPr>
      <w:spacing w:after="0" w:line="240" w:lineRule="auto"/>
    </w:pPr>
    <w:rPr>
      <w:rFonts w:ascii="Tahoma" w:hAnsi="Tahoma" w:cs="Tahoma"/>
      <w:sz w:val="16"/>
      <w:szCs w:val="16"/>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character" w:styleId="char3" w:customStyle="1">
    <w:name w:val="Título 3 Char"/>
    <w:basedOn w:val="char0"/>
    <w:rPr>
      <w:rFonts w:ascii="Times New Roman" w:hAnsi="Times New Roman" w:eastAsia="Times New Roman" w:cs="Times New Roman"/>
      <w:b/>
      <w:bCs/>
      <w:color w:val="000000"/>
      <w:sz w:val="24"/>
      <w:szCs w:val="24"/>
    </w:rPr>
  </w:style>
  <w:style w:type="character" w:styleId="char4" w:customStyle="1">
    <w:name w:val="Texto de balão Char"/>
    <w:basedOn w:val="char0"/>
    <w:rPr>
      <w:rFonts w:ascii="Tahoma" w:hAnsi="Tahoma" w:cs="Tahoma"/>
      <w:sz w:val="16"/>
      <w:szCs w:val="16"/>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3"/>
    <w:qFormat/>
    <w:basedOn w:val="para0"/>
    <w:next w:val="para0"/>
    <w:pPr>
      <w:spacing w:after="0" w:line="240" w:lineRule="auto"/>
      <w:keepNext/>
      <w:outlineLvl w:val="2"/>
    </w:pPr>
    <w:rPr>
      <w:rFonts w:ascii="Times New Roman" w:hAnsi="Times New Roman" w:eastAsia="Times New Roman"/>
      <w:b/>
      <w:bCs/>
      <w:color w:val="000000"/>
      <w:sz w:val="24"/>
      <w:szCs w:val="24"/>
    </w:rPr>
  </w:style>
  <w:style w:type="paragraph" w:styleId="para2">
    <w:name w:val="Header"/>
    <w:qFormat/>
    <w:basedOn w:val="para0"/>
    <w:pPr>
      <w:spacing w:after="0" w:line="240" w:lineRule="auto"/>
      <w:tabs defTabSz="708">
        <w:tab w:val="center" w:pos="4252" w:leader="none"/>
        <w:tab w:val="right" w:pos="8504" w:leader="none"/>
      </w:tabs>
    </w:pPr>
  </w:style>
  <w:style w:type="paragraph" w:styleId="para3">
    <w:name w:val="Footer"/>
    <w:qFormat/>
    <w:basedOn w:val="para0"/>
    <w:pPr>
      <w:spacing w:after="0" w:line="240" w:lineRule="auto"/>
      <w:tabs defTabSz="708">
        <w:tab w:val="center" w:pos="4252" w:leader="none"/>
        <w:tab w:val="right" w:pos="8504" w:leader="none"/>
      </w:tabs>
    </w:pPr>
  </w:style>
  <w:style w:type="paragraph" w:styleId="para4">
    <w:name w:val="Balloon Text"/>
    <w:qFormat/>
    <w:basedOn w:val="para0"/>
    <w:pPr>
      <w:spacing w:after="0" w:line="240" w:lineRule="auto"/>
    </w:pPr>
    <w:rPr>
      <w:rFonts w:ascii="Tahoma" w:hAnsi="Tahoma" w:cs="Tahoma"/>
      <w:sz w:val="16"/>
      <w:szCs w:val="16"/>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character" w:styleId="char3" w:customStyle="1">
    <w:name w:val="Título 3 Char"/>
    <w:basedOn w:val="char0"/>
    <w:rPr>
      <w:rFonts w:ascii="Times New Roman" w:hAnsi="Times New Roman" w:eastAsia="Times New Roman" w:cs="Times New Roman"/>
      <w:b/>
      <w:bCs/>
      <w:color w:val="000000"/>
      <w:sz w:val="24"/>
      <w:szCs w:val="24"/>
    </w:rPr>
  </w:style>
  <w:style w:type="character" w:styleId="char4" w:customStyle="1">
    <w:name w:val="Texto de balão Char"/>
    <w:basedOn w:val="char0"/>
    <w:rPr>
      <w:rFonts w:ascii="Tahoma" w:hAnsi="Tahoma" w:cs="Tahoma"/>
      <w:sz w:val="16"/>
      <w:szCs w:val="16"/>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rev.966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12</cp:revision>
  <cp:lastPrinted>2019-08-29T13:34:42Z</cp:lastPrinted>
  <dcterms:created xsi:type="dcterms:W3CDTF">2019-04-01T16:56:00Z</dcterms:created>
  <dcterms:modified xsi:type="dcterms:W3CDTF">2019-08-29T13:34:33Z</dcterms:modified>
</cp:coreProperties>
</file>