
<file path=[Content_Types].xml><?xml version="1.0" encoding="utf-8"?>
<Types xmlns="http://schemas.openxmlformats.org/package/2006/content-types">
  <Default Extension="rels" ContentType="application/vnd.openxmlformats-package.relationships+xml"/>
  <Default Extension="xml" ContentType="application/xml"/>
  <Default Extension="bmp" ContentType="image/bmp"/>
  <Default Extension="jpeg" ContentType="image/jpeg"/>
  <Default Extension="png" ContentType="image/png"/>
  <Default Extension="gif" ContentType="image/gif"/>
  <Default Extension="tif" ContentType="image/tif"/>
  <Default Extension="emf" ContentType="image/x-emf"/>
  <Default Extension="wmf" ContentType="image/x-wmf"/>
  <Default Extension="pct" ContentType="image/pct"/>
  <Default Extension="pcx" ContentType="image/pcx"/>
  <Default Extension="tga" ContentType="image/tga"/>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document.xml" ContentType="application/vnd.openxmlformats-officedocument.wordprocessingml.document.main+xml"/>
  <Override PartName="/word/header1.xml" ContentType="application/vnd.openxmlformats-officedocument.wordprocessingml.header+xml"/>
  <Override PartName="/word/footer1.xml" ContentType="application/vnd.openxmlformats-officedocument.wordprocessingml.footer+xml"/>
</Types>
</file>

<file path=_rels/.rels><?xml version="1.0" encoding="UTF-8" standalone="yes" ?>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
        <w:t xml:space="preserve">                </w:t>
      </w:r>
    </w:p>
    <w:p>
      <w:pPr>
        <w:spacing/>
        <w:jc w:val="center"/>
        <w:rPr>
          <w:rFonts w:ascii="Arial" w:hAnsi="Arial" w:cs="Arial"/>
          <w:b/>
        </w:rPr>
      </w:pPr>
      <w:r>
        <w:rPr>
          <w:rFonts w:ascii="Arial" w:hAnsi="Arial" w:cs="Arial"/>
          <w:b/>
        </w:rPr>
        <w:t>TERMO DE REFERÊNCIA</w:t>
      </w:r>
    </w:p>
    <w:p>
      <w:pPr>
        <w:spacing/>
        <w:jc w:val="center"/>
        <w:rPr>
          <w:rFonts w:ascii="Arial" w:hAnsi="Arial" w:cs="Arial"/>
          <w:b/>
        </w:rPr>
      </w:pPr>
      <w:r>
        <w:rPr>
          <w:rFonts w:ascii="Arial" w:hAnsi="Arial" w:cs="Arial"/>
          <w:b/>
        </w:rPr>
      </w:r>
    </w:p>
    <w:p>
      <w:pPr>
        <w:spacing/>
        <w:jc w:val="center"/>
        <w:rPr>
          <w:rFonts w:ascii="Arial" w:hAnsi="Arial" w:cs="Arial"/>
          <w:b/>
        </w:rPr>
      </w:pPr>
      <w:r>
        <w:rPr>
          <w:rFonts w:ascii="Arial" w:hAnsi="Arial" w:cs="Arial"/>
          <w:b/>
        </w:rPr>
        <w:t>AQUISIÇÃO DE MATERIAIS DE LIMPEZA  HIGIENIZAÇÃO E UTENSILIOS - 2019.</w:t>
      </w:r>
    </w:p>
    <w:p>
      <w:pPr>
        <w:spacing/>
        <w:jc w:val="both"/>
        <w:rPr>
          <w:rFonts w:ascii="Arial" w:hAnsi="Arial" w:cs="Arial"/>
        </w:rPr>
      </w:pPr>
      <w:r>
        <w:rPr>
          <w:rFonts w:ascii="Arial" w:hAnsi="Arial" w:cs="Arial"/>
        </w:rPr>
      </w:r>
    </w:p>
    <w:p>
      <w:pPr>
        <w:spacing/>
        <w:jc w:val="both"/>
        <w:rPr>
          <w:rFonts w:ascii="Arial" w:hAnsi="Arial" w:cs="Arial"/>
        </w:rPr>
      </w:pPr>
      <w:r>
        <w:rPr>
          <w:rFonts w:ascii="Arial" w:hAnsi="Arial" w:cs="Arial"/>
        </w:rPr>
        <w:t>1. MODALIDADE DE LICITAÇÃO</w:t>
      </w:r>
    </w:p>
    <w:p>
      <w:pPr>
        <w:spacing/>
        <w:jc w:val="both"/>
        <w:rPr>
          <w:rFonts w:ascii="Arial" w:hAnsi="Arial" w:cs="Arial"/>
        </w:rPr>
      </w:pPr>
      <w:r>
        <w:rPr>
          <w:rFonts w:ascii="Arial" w:hAnsi="Arial" w:cs="Arial"/>
        </w:rPr>
      </w:r>
    </w:p>
    <w:p>
      <w:pPr>
        <w:spacing/>
        <w:jc w:val="both"/>
        <w:rPr>
          <w:rFonts w:ascii="Arial" w:hAnsi="Arial" w:cs="Arial"/>
        </w:rPr>
      </w:pPr>
      <w:r>
        <w:rPr>
          <w:rFonts w:ascii="Arial" w:hAnsi="Arial" w:cs="Arial"/>
        </w:rPr>
        <w:t>Modalidade: Pregão Presencial e Registro de preço</w:t>
      </w:r>
    </w:p>
    <w:p>
      <w:pPr>
        <w:spacing/>
        <w:jc w:val="both"/>
        <w:rPr>
          <w:rFonts w:ascii="Arial" w:hAnsi="Arial" w:cs="Arial"/>
        </w:rPr>
      </w:pPr>
      <w:r>
        <w:rPr>
          <w:rFonts w:ascii="Arial" w:hAnsi="Arial" w:cs="Arial"/>
        </w:rPr>
        <w:t xml:space="preserve">Tipo: Menor Preço </w:t>
      </w:r>
    </w:p>
    <w:p>
      <w:pPr>
        <w:spacing/>
        <w:jc w:val="both"/>
        <w:rPr>
          <w:rFonts w:ascii="Arial" w:hAnsi="Arial" w:cs="Arial"/>
        </w:rPr>
      </w:pPr>
      <w:r>
        <w:rPr>
          <w:rFonts w:ascii="Arial" w:hAnsi="Arial" w:cs="Arial"/>
        </w:rPr>
      </w:r>
    </w:p>
    <w:p>
      <w:pPr>
        <w:spacing/>
        <w:jc w:val="both"/>
        <w:rPr>
          <w:rFonts w:ascii="Arial" w:hAnsi="Arial" w:cs="Arial"/>
        </w:rPr>
      </w:pPr>
      <w:r>
        <w:rPr>
          <w:rFonts w:ascii="Arial" w:hAnsi="Arial" w:cs="Arial"/>
        </w:rPr>
      </w:r>
    </w:p>
    <w:p>
      <w:pPr>
        <w:spacing/>
        <w:jc w:val="both"/>
        <w:rPr>
          <w:rFonts w:ascii="Arial" w:hAnsi="Arial" w:cs="Arial"/>
        </w:rPr>
      </w:pPr>
      <w:r>
        <w:rPr>
          <w:rFonts w:ascii="Arial" w:hAnsi="Arial" w:cs="Arial"/>
        </w:rPr>
        <w:t xml:space="preserve">2. OBJETO </w:t>
      </w:r>
    </w:p>
    <w:p>
      <w:pPr>
        <w:spacing/>
        <w:jc w:val="both"/>
        <w:rPr>
          <w:rFonts w:ascii="Arial" w:hAnsi="Arial" w:cs="Arial"/>
        </w:rPr>
      </w:pPr>
      <w:r>
        <w:rPr>
          <w:rFonts w:ascii="Arial" w:hAnsi="Arial" w:cs="Arial"/>
        </w:rPr>
      </w:r>
    </w:p>
    <w:p>
      <w:pPr>
        <w:spacing/>
        <w:jc w:val="both"/>
        <w:rPr>
          <w:rFonts w:ascii="Arial" w:hAnsi="Arial" w:cs="Arial"/>
        </w:rPr>
      </w:pPr>
      <w:r>
        <w:rPr>
          <w:rFonts w:ascii="Arial" w:hAnsi="Arial" w:cs="Arial"/>
        </w:rPr>
        <w:t xml:space="preserve">Aquisição de material de limpeza higienização e utensílios de acordo com especificações e quantidades detalhadas em planilha anexa (Anexo I). </w:t>
      </w:r>
    </w:p>
    <w:p>
      <w:pPr>
        <w:spacing/>
        <w:jc w:val="both"/>
        <w:rPr>
          <w:rFonts w:ascii="Arial" w:hAnsi="Arial" w:cs="Arial"/>
        </w:rPr>
      </w:pPr>
      <w:r>
        <w:rPr>
          <w:rFonts w:ascii="Arial" w:hAnsi="Arial" w:cs="Arial"/>
        </w:rPr>
      </w:r>
    </w:p>
    <w:p>
      <w:pPr>
        <w:spacing/>
        <w:jc w:val="both"/>
        <w:rPr>
          <w:rFonts w:ascii="Arial" w:hAnsi="Arial" w:cs="Arial"/>
        </w:rPr>
      </w:pPr>
      <w:r>
        <w:rPr>
          <w:rFonts w:ascii="Arial" w:hAnsi="Arial" w:cs="Arial"/>
        </w:rPr>
        <w:t xml:space="preserve">3. JUSTIFICATIVA DA CONTRATAÇÃO </w:t>
      </w:r>
    </w:p>
    <w:p>
      <w:pPr>
        <w:spacing/>
        <w:jc w:val="both"/>
        <w:rPr>
          <w:rFonts w:ascii="Arial" w:hAnsi="Arial" w:cs="Arial"/>
        </w:rPr>
      </w:pPr>
      <w:r>
        <w:rPr>
          <w:rFonts w:ascii="Arial" w:hAnsi="Arial" w:cs="Arial"/>
        </w:rPr>
      </w:r>
    </w:p>
    <w:p>
      <w:pPr>
        <w:spacing/>
        <w:jc w:val="both"/>
        <w:rPr>
          <w:rFonts w:ascii="Arial" w:hAnsi="Arial" w:cs="Arial"/>
        </w:rPr>
      </w:pPr>
      <w:r>
        <w:rPr>
          <w:rFonts w:ascii="Arial" w:hAnsi="Arial" w:cs="Arial"/>
        </w:rPr>
        <w:t xml:space="preserve">Os materiais serão utilizados pelas unidades escolares do município de São Domingos do Norte e pelo administrativo da SEMEC – Secretaria Municipal de Educação e Cultura, a fim de garantir melhores condições de trabalho e a prestação de serviços de qualidade. </w:t>
      </w:r>
    </w:p>
    <w:p>
      <w:pPr>
        <w:spacing/>
        <w:jc w:val="both"/>
        <w:rPr>
          <w:rFonts w:ascii="Arial" w:hAnsi="Arial" w:cs="Arial"/>
        </w:rPr>
      </w:pPr>
      <w:r>
        <w:rPr>
          <w:rFonts w:ascii="Arial" w:hAnsi="Arial" w:cs="Arial"/>
        </w:rPr>
      </w:r>
    </w:p>
    <w:p>
      <w:pPr>
        <w:spacing/>
        <w:jc w:val="both"/>
        <w:rPr>
          <w:rFonts w:ascii="Arial" w:hAnsi="Arial" w:cs="Arial"/>
        </w:rPr>
      </w:pPr>
      <w:r>
        <w:rPr>
          <w:rFonts w:ascii="Arial" w:hAnsi="Arial" w:cs="Arial"/>
        </w:rPr>
        <w:t>4. DA VALIDADE DA PROPOSTA</w:t>
      </w:r>
    </w:p>
    <w:p>
      <w:pPr>
        <w:spacing/>
        <w:jc w:val="both"/>
        <w:rPr>
          <w:rFonts w:ascii="Arial" w:hAnsi="Arial" w:cs="Arial"/>
        </w:rPr>
      </w:pPr>
      <w:r>
        <w:rPr>
          <w:rFonts w:ascii="Arial" w:hAnsi="Arial" w:cs="Arial"/>
        </w:rPr>
      </w:r>
    </w:p>
    <w:p>
      <w:pPr>
        <w:spacing/>
        <w:jc w:val="both"/>
        <w:rPr>
          <w:rFonts w:ascii="Arial" w:hAnsi="Arial" w:cs="Arial"/>
        </w:rPr>
      </w:pPr>
      <w:r>
        <w:rPr>
          <w:rFonts w:ascii="Arial" w:hAnsi="Arial" w:cs="Arial"/>
        </w:rPr>
        <w:t xml:space="preserve">A validade da proposta de preços deverá ser de, no mínimo, 90 (noventa) dias contados da data para a entrega da mesma. </w:t>
      </w:r>
    </w:p>
    <w:p>
      <w:pPr>
        <w:spacing/>
        <w:jc w:val="both"/>
        <w:rPr>
          <w:rFonts w:ascii="Arial" w:hAnsi="Arial" w:cs="Arial"/>
        </w:rPr>
      </w:pPr>
      <w:r>
        <w:rPr>
          <w:rFonts w:ascii="Arial" w:hAnsi="Arial" w:cs="Arial"/>
        </w:rPr>
      </w:r>
    </w:p>
    <w:p>
      <w:pPr>
        <w:spacing/>
        <w:jc w:val="both"/>
        <w:rPr>
          <w:rFonts w:ascii="Arial" w:hAnsi="Arial" w:cs="Arial"/>
        </w:rPr>
      </w:pPr>
      <w:r>
        <w:rPr>
          <w:rFonts w:ascii="Arial" w:hAnsi="Arial" w:cs="Arial"/>
        </w:rPr>
        <w:t xml:space="preserve">5. DA ACEITAÇÃO DO OBJETO </w:t>
      </w:r>
    </w:p>
    <w:p>
      <w:pPr>
        <w:spacing/>
        <w:jc w:val="both"/>
        <w:rPr>
          <w:rFonts w:ascii="Arial" w:hAnsi="Arial" w:cs="Arial"/>
        </w:rPr>
      </w:pPr>
      <w:r>
        <w:rPr>
          <w:rFonts w:ascii="Arial" w:hAnsi="Arial" w:cs="Arial"/>
        </w:rPr>
      </w:r>
    </w:p>
    <w:p>
      <w:pPr>
        <w:spacing/>
        <w:jc w:val="both"/>
        <w:rPr>
          <w:rFonts w:ascii="Arial" w:hAnsi="Arial" w:cs="Arial"/>
        </w:rPr>
      </w:pPr>
      <w:r>
        <w:rPr>
          <w:rFonts w:ascii="Arial" w:hAnsi="Arial" w:cs="Arial"/>
        </w:rPr>
        <w:t xml:space="preserve">5.1 As empresas proponentes deverão enviar obrigatoriamente amostras dos materiais para análise, quando solicitado dentro do prazo de VINTE QUATRO HORAS (24) HORAS, após a abertura da Sessão pública da licitação, as quais servirão para aferição das características e qualidade do objeto licitado, podendo ser submetidas a utilização, hipóteses nas quais não serão restituídas ao licitante e nem implicarão quaisquer ônus a Prefeitura Municipal ou a seus servidores e nem serão deduzidas, quando da contratação e entrega definitiva; </w:t>
      </w:r>
    </w:p>
    <w:p>
      <w:pPr>
        <w:spacing/>
        <w:jc w:val="both"/>
        <w:rPr>
          <w:rFonts w:ascii="Arial" w:hAnsi="Arial" w:cs="Arial"/>
        </w:rPr>
      </w:pPr>
      <w:r>
        <w:rPr>
          <w:rFonts w:ascii="Arial" w:hAnsi="Arial" w:cs="Arial"/>
        </w:rPr>
      </w:r>
    </w:p>
    <w:p>
      <w:pPr>
        <w:spacing/>
        <w:jc w:val="both"/>
        <w:rPr>
          <w:rFonts w:ascii="Arial" w:hAnsi="Arial" w:cs="Arial"/>
        </w:rPr>
      </w:pPr>
      <w:r>
        <w:rPr>
          <w:rFonts w:ascii="Arial" w:hAnsi="Arial" w:cs="Arial"/>
        </w:rPr>
        <w:t xml:space="preserve">5.2 As amostras serão analisadas pelos servidores da Comissão Municipal de Análise, que avaliarão quanto à qualidade e compatibilidade às especificações deste Termo de Referencia. </w:t>
      </w:r>
    </w:p>
    <w:p>
      <w:pPr>
        <w:spacing/>
        <w:jc w:val="both"/>
        <w:rPr>
          <w:rFonts w:ascii="Arial" w:hAnsi="Arial" w:cs="Arial"/>
        </w:rPr>
      </w:pPr>
      <w:r>
        <w:rPr>
          <w:rFonts w:ascii="Arial" w:hAnsi="Arial" w:cs="Arial"/>
        </w:rPr>
      </w:r>
    </w:p>
    <w:p>
      <w:pPr>
        <w:spacing/>
        <w:jc w:val="both"/>
        <w:rPr>
          <w:rFonts w:ascii="Arial" w:hAnsi="Arial" w:cs="Arial"/>
        </w:rPr>
      </w:pPr>
      <w:r>
        <w:rPr>
          <w:rFonts w:ascii="Arial" w:hAnsi="Arial" w:cs="Arial"/>
        </w:rPr>
        <w:t xml:space="preserve">6. LOCAL E CONDIÇÕES DE ENTREGA </w:t>
      </w:r>
    </w:p>
    <w:p>
      <w:pPr>
        <w:spacing/>
        <w:jc w:val="both"/>
        <w:rPr>
          <w:rFonts w:ascii="Arial" w:hAnsi="Arial" w:cs="Arial"/>
        </w:rPr>
      </w:pPr>
      <w:r>
        <w:rPr>
          <w:rFonts w:ascii="Arial" w:hAnsi="Arial" w:cs="Arial"/>
        </w:rPr>
      </w:r>
    </w:p>
    <w:p>
      <w:pPr>
        <w:spacing/>
        <w:jc w:val="both"/>
        <w:rPr>
          <w:rFonts w:ascii="Arial" w:hAnsi="Arial" w:cs="Arial"/>
        </w:rPr>
      </w:pPr>
      <w:r>
        <w:rPr>
          <w:rFonts w:ascii="Arial" w:hAnsi="Arial" w:cs="Arial"/>
        </w:rPr>
        <w:t xml:space="preserve">6.1. Os itens desse certame deverão ser entregues no Almoxarifado da SEMEC na Rodovia Gether Lopes de Farias, Bairro Emílio Callegari, de segunda-feira a sexta-feira das 7.30h às 16.00h. Os materiais serão recebidos por servidores da SEMEC. </w:t>
      </w:r>
    </w:p>
    <w:p>
      <w:pPr>
        <w:spacing/>
        <w:jc w:val="both"/>
        <w:rPr>
          <w:rFonts w:ascii="Arial" w:hAnsi="Arial" w:cs="Arial"/>
        </w:rPr>
      </w:pPr>
      <w:r>
        <w:rPr>
          <w:rFonts w:ascii="Arial" w:hAnsi="Arial" w:cs="Arial"/>
        </w:rPr>
      </w:r>
    </w:p>
    <w:p>
      <w:pPr>
        <w:spacing/>
        <w:jc w:val="both"/>
        <w:rPr>
          <w:rFonts w:ascii="Arial" w:hAnsi="Arial" w:cs="Arial"/>
        </w:rPr>
      </w:pPr>
      <w:r>
        <w:rPr>
          <w:rFonts w:ascii="Arial" w:hAnsi="Arial" w:cs="Arial"/>
        </w:rPr>
        <w:t xml:space="preserve">6.2. Todo e qualquer ônus decorrente da entrega do objeto licitado, inclusive frete, será de inteira responsabilidade da CONTRATADA. A movimentação dos materiais até as dependências do depósito do Almoxarifado da SEMEC é de inteira responsabilidade da CONTRATADA ou da transportadora, não sendo A SEMEC responsável pelo fornecimento de mão-de-obra para viabilizar o transporte; </w:t>
      </w:r>
    </w:p>
    <w:p>
      <w:pPr>
        <w:spacing/>
        <w:jc w:val="both"/>
        <w:rPr>
          <w:rFonts w:ascii="Arial" w:hAnsi="Arial" w:cs="Arial"/>
        </w:rPr>
      </w:pPr>
      <w:r>
        <w:rPr>
          <w:rFonts w:ascii="Arial" w:hAnsi="Arial" w:cs="Arial"/>
        </w:rPr>
      </w:r>
    </w:p>
    <w:p>
      <w:pPr>
        <w:spacing/>
        <w:jc w:val="both"/>
        <w:rPr>
          <w:rFonts w:ascii="Arial" w:hAnsi="Arial" w:cs="Arial"/>
        </w:rPr>
      </w:pPr>
      <w:r>
        <w:rPr>
          <w:rFonts w:ascii="Arial" w:hAnsi="Arial" w:cs="Arial"/>
        </w:rPr>
        <w:t xml:space="preserve">6.3. O objeto dessa licitação será recebido PROVISORIAMENTE, no Almoxarifado da SEMEC, para fins de conferência do critério quantitativo, com a utilização de carimbo e assinatura no canhoto da Nota Fiscal Eletrônica e/ou no conhecimento de transporte da transportadora, devidamente datado e assinado; </w:t>
      </w:r>
    </w:p>
    <w:p>
      <w:pPr>
        <w:spacing/>
        <w:jc w:val="both"/>
        <w:rPr>
          <w:rFonts w:ascii="Arial" w:hAnsi="Arial" w:cs="Arial"/>
        </w:rPr>
      </w:pPr>
      <w:r>
        <w:rPr>
          <w:rFonts w:ascii="Arial" w:hAnsi="Arial" w:cs="Arial"/>
        </w:rPr>
      </w:r>
    </w:p>
    <w:p>
      <w:pPr>
        <w:spacing/>
        <w:jc w:val="both"/>
        <w:rPr>
          <w:rFonts w:ascii="Arial" w:hAnsi="Arial" w:cs="Arial"/>
        </w:rPr>
      </w:pPr>
      <w:r>
        <w:rPr>
          <w:rFonts w:ascii="Arial" w:hAnsi="Arial" w:cs="Arial"/>
        </w:rPr>
        <w:t xml:space="preserve">6.3.1 Não serão recebidos materiais com marca diversa da apresentada na proposta caso não tenha ocorrido o disposto no item 6.9 deste Termo de Referência; </w:t>
      </w:r>
    </w:p>
    <w:p>
      <w:pPr>
        <w:spacing/>
        <w:jc w:val="both"/>
        <w:rPr>
          <w:rFonts w:ascii="Arial" w:hAnsi="Arial" w:cs="Arial"/>
        </w:rPr>
      </w:pPr>
      <w:r>
        <w:rPr>
          <w:rFonts w:ascii="Arial" w:hAnsi="Arial" w:cs="Arial"/>
        </w:rPr>
      </w:r>
    </w:p>
    <w:p>
      <w:pPr>
        <w:spacing/>
        <w:jc w:val="both"/>
        <w:rPr>
          <w:rFonts w:ascii="Arial" w:hAnsi="Arial" w:cs="Arial"/>
        </w:rPr>
      </w:pPr>
      <w:r>
        <w:rPr>
          <w:rFonts w:ascii="Arial" w:hAnsi="Arial" w:cs="Arial"/>
        </w:rPr>
        <w:t xml:space="preserve">6.4. Após o recebimento provisório do material, em um prazo máximo de 05 (cinco) dias úteis, será verificado pelos servidores da SEMEC, responsáveis pelo Almoxarifado, a conformidade do material proposto e entregue com as especificações contidas no edital da licitação; </w:t>
      </w:r>
    </w:p>
    <w:p>
      <w:pPr>
        <w:spacing/>
        <w:jc w:val="both"/>
        <w:rPr>
          <w:rFonts w:ascii="Arial" w:hAnsi="Arial" w:cs="Arial"/>
        </w:rPr>
      </w:pPr>
      <w:r>
        <w:rPr>
          <w:rFonts w:ascii="Arial" w:hAnsi="Arial" w:cs="Arial"/>
        </w:rPr>
      </w:r>
    </w:p>
    <w:p>
      <w:pPr>
        <w:spacing/>
        <w:jc w:val="both"/>
        <w:rPr>
          <w:rFonts w:ascii="Arial" w:hAnsi="Arial" w:cs="Arial"/>
        </w:rPr>
      </w:pPr>
      <w:r>
        <w:rPr>
          <w:rFonts w:ascii="Arial" w:hAnsi="Arial" w:cs="Arial"/>
        </w:rPr>
        <w:t xml:space="preserve">6.5. Caso seja verificada qualquer incompatibilidade, o material deverá ser substituído, por conta e ônus da CONTRATADA, em no máximo 07 (sete) dias, não considerados como prorrogação do prazo de entrega. Esse processo de verificação de compatibilidade será também aplicado ao material encaminhado pela licitante em substituição, e somente após o cumprimento dessa etapa, será o objeto da licitação definitivamente recebido e aceito; </w:t>
      </w:r>
    </w:p>
    <w:p>
      <w:pPr>
        <w:spacing/>
        <w:jc w:val="both"/>
        <w:rPr>
          <w:rFonts w:ascii="Arial" w:hAnsi="Arial" w:cs="Arial"/>
        </w:rPr>
      </w:pPr>
      <w:r>
        <w:rPr>
          <w:rFonts w:ascii="Arial" w:hAnsi="Arial" w:cs="Arial"/>
        </w:rPr>
      </w:r>
    </w:p>
    <w:p>
      <w:pPr>
        <w:spacing/>
        <w:jc w:val="both"/>
        <w:rPr>
          <w:rFonts w:ascii="Arial" w:hAnsi="Arial" w:cs="Arial"/>
        </w:rPr>
      </w:pPr>
      <w:r>
        <w:rPr>
          <w:rFonts w:ascii="Arial" w:hAnsi="Arial" w:cs="Arial"/>
        </w:rPr>
        <w:t xml:space="preserve">6.6. O recebimento definitivo não excluirá a responsabilidade da CONTRATADA pela perfeita qualidade do material fornecido, cabendo-lhe sanar quaisquer irregularidades detectadas quando da utilização desse material; </w:t>
      </w:r>
    </w:p>
    <w:p>
      <w:pPr>
        <w:spacing/>
        <w:jc w:val="both"/>
        <w:rPr>
          <w:rFonts w:ascii="Arial" w:hAnsi="Arial" w:cs="Arial"/>
        </w:rPr>
      </w:pPr>
      <w:r>
        <w:rPr>
          <w:rFonts w:ascii="Arial" w:hAnsi="Arial" w:cs="Arial"/>
        </w:rPr>
      </w:r>
    </w:p>
    <w:p>
      <w:pPr>
        <w:spacing/>
        <w:jc w:val="both"/>
        <w:rPr>
          <w:rFonts w:ascii="Arial" w:hAnsi="Arial" w:cs="Arial"/>
        </w:rPr>
      </w:pPr>
      <w:r>
        <w:rPr>
          <w:rFonts w:ascii="Arial" w:hAnsi="Arial" w:cs="Arial"/>
        </w:rPr>
        <w:t xml:space="preserve">6.7. O prazo de entrega do produto ofertado será de no máximo 15 (quinze) dias, contados a partir da comprovação do recebimento da nota de empenho ou ordem de fornecimento; </w:t>
      </w:r>
    </w:p>
    <w:p>
      <w:pPr>
        <w:spacing/>
        <w:jc w:val="both"/>
        <w:rPr>
          <w:rFonts w:ascii="Arial" w:hAnsi="Arial" w:cs="Arial"/>
        </w:rPr>
      </w:pPr>
      <w:r>
        <w:rPr>
          <w:rFonts w:ascii="Arial" w:hAnsi="Arial" w:cs="Arial"/>
        </w:rPr>
      </w:r>
    </w:p>
    <w:p>
      <w:pPr>
        <w:spacing/>
        <w:jc w:val="both"/>
        <w:rPr>
          <w:rFonts w:ascii="Arial" w:hAnsi="Arial" w:cs="Arial"/>
        </w:rPr>
      </w:pPr>
      <w:r>
        <w:rPr>
          <w:rFonts w:ascii="Arial" w:hAnsi="Arial" w:cs="Arial"/>
        </w:rPr>
        <w:t xml:space="preserve">6.8. O prazo de entrega poderá ser prorrogado, uma única vez, caso seja protocolada pelo fornecedor a solicitação, com as devidas justificativas, no prazo máximo de 10 (dez) dias antes do término do prazo máximo para entrega, previsto no edital; </w:t>
      </w:r>
    </w:p>
    <w:p>
      <w:pPr>
        <w:spacing/>
        <w:jc w:val="both"/>
        <w:rPr>
          <w:rFonts w:ascii="Arial" w:hAnsi="Arial" w:cs="Arial"/>
        </w:rPr>
      </w:pPr>
      <w:r>
        <w:rPr>
          <w:rFonts w:ascii="Arial" w:hAnsi="Arial" w:cs="Arial"/>
        </w:rPr>
      </w:r>
    </w:p>
    <w:p>
      <w:pPr>
        <w:spacing/>
        <w:jc w:val="both"/>
        <w:rPr>
          <w:rFonts w:ascii="Arial" w:hAnsi="Arial" w:cs="Arial"/>
        </w:rPr>
      </w:pPr>
      <w:r>
        <w:rPr>
          <w:rFonts w:ascii="Arial" w:hAnsi="Arial" w:cs="Arial"/>
        </w:rPr>
        <w:t xml:space="preserve">6.9. A troca de marca de produtos poderá ocorrer, uma única vez, caso seja protocolada pelo fornecedor a solicitação, com as devidas justificativas (documentos comprobatórios e pesquisa de mercado atualizada, que comprove a equivalência de preços e qualidade dos produtos), no prazo máximo de 10 (dez) dias antes do término do prazo máximo para entrega, previsto no edital; </w:t>
      </w:r>
    </w:p>
    <w:p>
      <w:pPr>
        <w:spacing/>
        <w:jc w:val="both"/>
        <w:rPr>
          <w:rFonts w:ascii="Arial" w:hAnsi="Arial" w:cs="Arial"/>
        </w:rPr>
      </w:pPr>
      <w:r>
        <w:rPr>
          <w:rFonts w:ascii="Arial" w:hAnsi="Arial" w:cs="Arial"/>
        </w:rPr>
      </w:r>
    </w:p>
    <w:p>
      <w:pPr>
        <w:spacing/>
        <w:jc w:val="both"/>
        <w:rPr>
          <w:rFonts w:ascii="Arial" w:hAnsi="Arial" w:cs="Arial"/>
        </w:rPr>
      </w:pPr>
      <w:r>
        <w:rPr>
          <w:rFonts w:ascii="Arial" w:hAnsi="Arial" w:cs="Arial"/>
        </w:rPr>
        <w:t>6.10. A prorrogação de prazo de entrega e a troca de marca de produtos poderão ocorrer, a critério da Administração, após análise do mérito das justificativas pela Comissão de Análise Municipal.</w:t>
      </w:r>
    </w:p>
    <w:p>
      <w:pPr>
        <w:spacing/>
        <w:jc w:val="both"/>
        <w:rPr>
          <w:rFonts w:ascii="Arial" w:hAnsi="Arial" w:cs="Arial"/>
        </w:rPr>
      </w:pPr>
      <w:r>
        <w:rPr>
          <w:rFonts w:ascii="Arial" w:hAnsi="Arial" w:cs="Arial"/>
        </w:rPr>
      </w:r>
    </w:p>
    <w:p>
      <w:pPr>
        <w:spacing/>
        <w:jc w:val="both"/>
        <w:rPr>
          <w:rFonts w:ascii="Arial" w:hAnsi="Arial" w:cs="Arial"/>
        </w:rPr>
      </w:pPr>
      <w:r>
        <w:rPr>
          <w:rFonts w:ascii="Arial" w:hAnsi="Arial" w:cs="Arial"/>
        </w:rPr>
        <w:t xml:space="preserve">7. PAGAMENTO </w:t>
      </w:r>
    </w:p>
    <w:p>
      <w:pPr>
        <w:spacing/>
        <w:jc w:val="both"/>
        <w:rPr>
          <w:rFonts w:ascii="Arial" w:hAnsi="Arial" w:cs="Arial"/>
        </w:rPr>
      </w:pPr>
      <w:r>
        <w:rPr>
          <w:rFonts w:ascii="Arial" w:hAnsi="Arial" w:cs="Arial"/>
        </w:rPr>
      </w:r>
    </w:p>
    <w:p>
      <w:pPr>
        <w:spacing/>
        <w:jc w:val="both"/>
        <w:rPr>
          <w:rFonts w:ascii="Arial" w:hAnsi="Arial" w:cs="Arial"/>
        </w:rPr>
      </w:pPr>
      <w:r>
        <w:rPr>
          <w:rFonts w:ascii="Arial" w:hAnsi="Arial" w:cs="Arial"/>
        </w:rPr>
        <w:t xml:space="preserve">7.1 O pagamento será feito por transferência bancária em conta corrente do fornecedor, até 30 (trinta) dias, após o recebimento definitivo e atesto da nota fiscal/fatura; </w:t>
      </w:r>
    </w:p>
    <w:p>
      <w:pPr>
        <w:spacing/>
        <w:jc w:val="both"/>
        <w:rPr>
          <w:rFonts w:ascii="Arial" w:hAnsi="Arial" w:cs="Arial"/>
        </w:rPr>
      </w:pPr>
      <w:r>
        <w:rPr>
          <w:rFonts w:ascii="Arial" w:hAnsi="Arial" w:cs="Arial"/>
        </w:rPr>
      </w:r>
    </w:p>
    <w:p>
      <w:pPr>
        <w:spacing/>
        <w:jc w:val="both"/>
        <w:rPr>
          <w:rFonts w:ascii="Arial" w:hAnsi="Arial" w:cs="Arial"/>
        </w:rPr>
      </w:pPr>
      <w:r>
        <w:rPr>
          <w:rFonts w:ascii="Arial" w:hAnsi="Arial" w:cs="Arial"/>
        </w:rPr>
        <w:t xml:space="preserve">7.2 O processo de pagamento será iniciado com a fatura/nota fiscal apresentada pelo fornecedor, bem como os documentos de comprovação da regularidade fiscal junto as Fazendas Federal, Estadual e Municipal, Seguridade Social – INSS, FGTS e Certidão Negativa de Débitos Trabalhistas; </w:t>
      </w:r>
    </w:p>
    <w:p>
      <w:pPr>
        <w:spacing/>
        <w:jc w:val="both"/>
        <w:rPr>
          <w:rFonts w:ascii="Arial" w:hAnsi="Arial" w:cs="Arial"/>
        </w:rPr>
      </w:pPr>
      <w:r>
        <w:rPr>
          <w:rFonts w:ascii="Arial" w:hAnsi="Arial" w:cs="Arial"/>
        </w:rPr>
      </w:r>
    </w:p>
    <w:p>
      <w:pPr>
        <w:spacing/>
        <w:jc w:val="both"/>
        <w:rPr>
          <w:rFonts w:ascii="Arial" w:hAnsi="Arial" w:cs="Arial"/>
        </w:rPr>
      </w:pPr>
      <w:r>
        <w:rPr>
          <w:rFonts w:ascii="Arial" w:hAnsi="Arial" w:cs="Arial"/>
        </w:rPr>
        <w:t xml:space="preserve">7.3 Qualquer atraso ocorrido na apresentação da Nota Fiscal/Fatura, ou dos documentos exigidos como condição para pagamento por parte da CONTRATADA, importará em prorrogação automática do prazo de vencimento da obrigação do CONTRATANTE. </w:t>
      </w:r>
    </w:p>
    <w:p>
      <w:pPr>
        <w:spacing/>
        <w:jc w:val="both"/>
        <w:rPr>
          <w:rFonts w:ascii="Arial" w:hAnsi="Arial" w:cs="Arial"/>
        </w:rPr>
      </w:pPr>
      <w:r>
        <w:rPr>
          <w:rFonts w:ascii="Arial" w:hAnsi="Arial" w:cs="Arial"/>
        </w:rPr>
      </w:r>
    </w:p>
    <w:p>
      <w:pPr>
        <w:spacing/>
        <w:jc w:val="both"/>
        <w:rPr>
          <w:rFonts w:ascii="Arial" w:hAnsi="Arial" w:cs="Arial"/>
        </w:rPr>
      </w:pPr>
      <w:r>
        <w:rPr>
          <w:rFonts w:ascii="Arial" w:hAnsi="Arial" w:cs="Arial"/>
        </w:rPr>
        <w:t>7.4 Poderá haver parcelamento do pagamento em parcelas fixas em 30, 60 e 90 dias, conforme conveniência da Administração Municipal;</w:t>
      </w:r>
    </w:p>
    <w:p>
      <w:pPr>
        <w:spacing/>
        <w:jc w:val="both"/>
        <w:rPr>
          <w:rFonts w:ascii="Arial" w:hAnsi="Arial" w:cs="Arial"/>
        </w:rPr>
      </w:pPr>
      <w:r>
        <w:rPr>
          <w:rFonts w:ascii="Arial" w:hAnsi="Arial" w:cs="Arial"/>
        </w:rPr>
        <w:t xml:space="preserve"> </w:t>
      </w:r>
    </w:p>
    <w:p>
      <w:pPr>
        <w:spacing/>
        <w:jc w:val="both"/>
        <w:rPr>
          <w:rFonts w:ascii="Arial" w:hAnsi="Arial" w:cs="Arial"/>
        </w:rPr>
      </w:pPr>
      <w:r>
        <w:rPr>
          <w:rFonts w:ascii="Arial" w:hAnsi="Arial" w:cs="Arial"/>
        </w:rPr>
        <w:t xml:space="preserve">8. OBRIGAÇÕES DO CONTRATANTE </w:t>
      </w:r>
    </w:p>
    <w:p>
      <w:pPr>
        <w:spacing/>
        <w:jc w:val="both"/>
        <w:rPr>
          <w:rFonts w:ascii="Arial" w:hAnsi="Arial" w:cs="Arial"/>
        </w:rPr>
      </w:pPr>
      <w:r>
        <w:rPr>
          <w:rFonts w:ascii="Arial" w:hAnsi="Arial" w:cs="Arial"/>
        </w:rPr>
        <w:t xml:space="preserve">  </w:t>
      </w:r>
    </w:p>
    <w:p>
      <w:pPr>
        <w:spacing/>
        <w:jc w:val="both"/>
        <w:rPr>
          <w:rFonts w:ascii="Arial" w:hAnsi="Arial" w:cs="Arial"/>
        </w:rPr>
      </w:pPr>
      <w:r>
        <w:rPr>
          <w:rFonts w:ascii="Arial" w:hAnsi="Arial" w:cs="Arial"/>
        </w:rPr>
        <w:t xml:space="preserve">a) Oferecer todas as condições e informações necessárias para que a CONTRATADA possa fornecer os produtos dentro das especificações exigidas neste Termo de Referência; </w:t>
      </w:r>
    </w:p>
    <w:p>
      <w:pPr>
        <w:spacing/>
        <w:jc w:val="both"/>
        <w:rPr>
          <w:rFonts w:ascii="Arial" w:hAnsi="Arial" w:cs="Arial"/>
        </w:rPr>
      </w:pPr>
      <w:r>
        <w:rPr>
          <w:rFonts w:ascii="Arial" w:hAnsi="Arial" w:cs="Arial"/>
        </w:rPr>
        <w:t xml:space="preserve">b) Emitir nota de empenho a crédito do fornecedor no valor total correspondente ao material solicitado; </w:t>
      </w:r>
    </w:p>
    <w:p>
      <w:pPr>
        <w:spacing/>
        <w:jc w:val="both"/>
        <w:rPr>
          <w:rFonts w:ascii="Arial" w:hAnsi="Arial" w:cs="Arial"/>
        </w:rPr>
      </w:pPr>
      <w:r>
        <w:rPr>
          <w:rFonts w:ascii="Arial" w:hAnsi="Arial" w:cs="Arial"/>
        </w:rPr>
        <w:t xml:space="preserve">c) Encaminhar a nota de empenho para a contratada; </w:t>
      </w:r>
    </w:p>
    <w:p>
      <w:pPr>
        <w:spacing/>
        <w:jc w:val="both"/>
        <w:rPr>
          <w:rFonts w:ascii="Arial" w:hAnsi="Arial" w:cs="Arial"/>
        </w:rPr>
      </w:pPr>
      <w:r>
        <w:rPr>
          <w:rFonts w:ascii="Arial" w:hAnsi="Arial" w:cs="Arial"/>
        </w:rPr>
        <w:t xml:space="preserve">d) Publicar o extrato do contrato no Diário Oficial da União; </w:t>
      </w:r>
    </w:p>
    <w:p>
      <w:pPr>
        <w:spacing/>
        <w:jc w:val="both"/>
        <w:rPr>
          <w:rFonts w:ascii="Arial" w:hAnsi="Arial" w:cs="Arial"/>
        </w:rPr>
      </w:pPr>
      <w:r>
        <w:rPr>
          <w:rFonts w:ascii="Arial" w:hAnsi="Arial" w:cs="Arial"/>
        </w:rPr>
        <w:t xml:space="preserve">e) Prestar as informações e os esclarecimentos que venham a ser solicitados pela CONTRATADA, proporcionando todas as condições para que a mesma possa cumprir suas obrigações dentro dos prazos estabelecidos; </w:t>
      </w:r>
    </w:p>
    <w:p>
      <w:pPr>
        <w:spacing/>
        <w:jc w:val="both"/>
        <w:rPr>
          <w:rFonts w:ascii="Arial" w:hAnsi="Arial" w:cs="Arial"/>
        </w:rPr>
      </w:pPr>
      <w:r>
        <w:rPr>
          <w:rFonts w:ascii="Arial" w:hAnsi="Arial" w:cs="Arial"/>
        </w:rPr>
        <w:t xml:space="preserve">f) Acompanhar e fiscalizar o objeto do contrato por meio de um representante da Administração especialmente designado para tanto; </w:t>
      </w:r>
    </w:p>
    <w:p>
      <w:pPr>
        <w:spacing/>
        <w:jc w:val="both"/>
        <w:rPr>
          <w:rFonts w:ascii="Arial" w:hAnsi="Arial" w:cs="Arial"/>
        </w:rPr>
      </w:pPr>
      <w:r>
        <w:rPr>
          <w:rFonts w:ascii="Arial" w:hAnsi="Arial" w:cs="Arial"/>
        </w:rPr>
        <w:t xml:space="preserve">g) Notificar, por escrito, a CONTRATADA na ocorrência de eventuais falhas no curso de execução do contrato, aplicando, se for o caso, as penalidades previstas neste Termo de Referência; </w:t>
      </w:r>
    </w:p>
    <w:p>
      <w:pPr>
        <w:spacing/>
        <w:jc w:val="both"/>
        <w:rPr>
          <w:rFonts w:ascii="Arial" w:hAnsi="Arial" w:cs="Arial"/>
        </w:rPr>
      </w:pPr>
      <w:r>
        <w:rPr>
          <w:rFonts w:ascii="Arial" w:hAnsi="Arial" w:cs="Arial"/>
        </w:rPr>
        <w:t xml:space="preserve">h) Pagar a fatura ou nota fiscal devidamente atestada, no prazo e forma previstos neste Termo de Referencia. </w:t>
      </w:r>
    </w:p>
    <w:p>
      <w:pPr>
        <w:spacing/>
        <w:jc w:val="both"/>
        <w:rPr>
          <w:rFonts w:ascii="Arial" w:hAnsi="Arial" w:cs="Arial"/>
        </w:rPr>
      </w:pPr>
      <w:r>
        <w:rPr>
          <w:rFonts w:ascii="Arial" w:hAnsi="Arial" w:cs="Arial"/>
        </w:rPr>
        <w:t xml:space="preserve"> </w:t>
      </w:r>
    </w:p>
    <w:p>
      <w:pPr>
        <w:spacing/>
        <w:jc w:val="both"/>
        <w:rPr>
          <w:rFonts w:ascii="Arial" w:hAnsi="Arial" w:cs="Arial"/>
        </w:rPr>
      </w:pPr>
      <w:r>
        <w:rPr>
          <w:rFonts w:ascii="Arial" w:hAnsi="Arial" w:cs="Arial"/>
        </w:rPr>
        <w:t xml:space="preserve">9. OBRIGAÇÕES DA CONTRATADA </w:t>
      </w:r>
    </w:p>
    <w:p>
      <w:pPr>
        <w:spacing/>
        <w:jc w:val="both"/>
        <w:rPr>
          <w:rFonts w:ascii="Arial" w:hAnsi="Arial" w:cs="Arial"/>
        </w:rPr>
      </w:pPr>
      <w:r>
        <w:rPr>
          <w:rFonts w:ascii="Arial" w:hAnsi="Arial" w:cs="Arial"/>
        </w:rPr>
        <w:t xml:space="preserve"> </w:t>
      </w:r>
    </w:p>
    <w:p>
      <w:pPr>
        <w:spacing/>
        <w:jc w:val="both"/>
        <w:rPr>
          <w:rFonts w:ascii="Arial" w:hAnsi="Arial" w:cs="Arial"/>
        </w:rPr>
      </w:pPr>
      <w:r>
        <w:rPr>
          <w:rFonts w:ascii="Arial" w:hAnsi="Arial" w:cs="Arial"/>
        </w:rPr>
        <w:t xml:space="preserve">9.1 Fornecer os materiais conforme especificações, marcas, validades e preços propostos na licitação, e nas quantidades solicitadas pela Administração; </w:t>
      </w:r>
    </w:p>
    <w:p>
      <w:pPr>
        <w:spacing/>
        <w:jc w:val="both"/>
        <w:rPr>
          <w:rFonts w:ascii="Arial" w:hAnsi="Arial" w:cs="Arial"/>
        </w:rPr>
      </w:pPr>
      <w:r>
        <w:rPr>
          <w:rFonts w:ascii="Arial" w:hAnsi="Arial" w:cs="Arial"/>
        </w:rPr>
      </w:r>
    </w:p>
    <w:p>
      <w:pPr>
        <w:spacing/>
        <w:jc w:val="both"/>
        <w:rPr>
          <w:rFonts w:ascii="Arial" w:hAnsi="Arial" w:cs="Arial"/>
        </w:rPr>
      </w:pPr>
      <w:r>
        <w:rPr>
          <w:rFonts w:ascii="Arial" w:hAnsi="Arial" w:cs="Arial"/>
        </w:rPr>
        <w:t xml:space="preserve">9.2 Aceitar os acréscimos e supressões de até 25% (vinte e cinco por cento) propostos pela Administração, conforme previsto no art. 65, § 1º, da Lei 8.666/93; </w:t>
      </w:r>
    </w:p>
    <w:p>
      <w:pPr>
        <w:spacing/>
        <w:jc w:val="both"/>
        <w:rPr>
          <w:rFonts w:ascii="Arial" w:hAnsi="Arial" w:cs="Arial"/>
        </w:rPr>
      </w:pPr>
      <w:r>
        <w:rPr>
          <w:rFonts w:ascii="Arial" w:hAnsi="Arial" w:cs="Arial"/>
        </w:rPr>
      </w:r>
    </w:p>
    <w:p>
      <w:pPr>
        <w:spacing/>
        <w:jc w:val="both"/>
        <w:rPr>
          <w:rFonts w:ascii="Arial" w:hAnsi="Arial" w:cs="Arial"/>
        </w:rPr>
      </w:pPr>
      <w:r>
        <w:rPr>
          <w:rFonts w:ascii="Arial" w:hAnsi="Arial" w:cs="Arial"/>
        </w:rPr>
        <w:t xml:space="preserve">9.3 Responsabilizar-se por todas as despesas diretas ou indiretas dos valores devidos aos seus empregados no cumprimento das obrigações contraídas nesta licitação; </w:t>
      </w:r>
    </w:p>
    <w:p>
      <w:pPr>
        <w:spacing/>
        <w:jc w:val="both"/>
        <w:rPr>
          <w:rFonts w:ascii="Arial" w:hAnsi="Arial" w:cs="Arial"/>
        </w:rPr>
      </w:pPr>
      <w:r>
        <w:rPr>
          <w:rFonts w:ascii="Arial" w:hAnsi="Arial" w:cs="Arial"/>
        </w:rPr>
      </w:r>
    </w:p>
    <w:p>
      <w:pPr>
        <w:spacing/>
        <w:jc w:val="both"/>
        <w:rPr>
          <w:rFonts w:ascii="Arial" w:hAnsi="Arial" w:cs="Arial"/>
        </w:rPr>
      </w:pPr>
      <w:r>
        <w:rPr>
          <w:rFonts w:ascii="Arial" w:hAnsi="Arial" w:cs="Arial"/>
        </w:rPr>
        <w:t xml:space="preserve">9.4 Substituir, no prazo máximo de 10 (dez) dias úteis, no prazo de garantia, qualquer material defeituoso que houver fornecido; </w:t>
      </w:r>
    </w:p>
    <w:p>
      <w:pPr>
        <w:spacing/>
        <w:jc w:val="both"/>
        <w:rPr>
          <w:rFonts w:ascii="Arial" w:hAnsi="Arial" w:cs="Arial"/>
        </w:rPr>
      </w:pPr>
      <w:r>
        <w:rPr>
          <w:rFonts w:ascii="Arial" w:hAnsi="Arial" w:cs="Arial"/>
        </w:rPr>
      </w:r>
    </w:p>
    <w:p>
      <w:pPr>
        <w:spacing/>
        <w:jc w:val="both"/>
        <w:rPr>
          <w:rFonts w:ascii="Arial" w:hAnsi="Arial" w:cs="Arial"/>
        </w:rPr>
      </w:pPr>
      <w:r>
        <w:rPr>
          <w:rFonts w:ascii="Arial" w:hAnsi="Arial" w:cs="Arial"/>
        </w:rPr>
        <w:t xml:space="preserve">9.5 Entregar os materiais acompanhados de DANFE; </w:t>
      </w:r>
    </w:p>
    <w:p>
      <w:pPr>
        <w:spacing/>
        <w:jc w:val="both"/>
        <w:rPr>
          <w:rFonts w:ascii="Arial" w:hAnsi="Arial" w:cs="Arial"/>
        </w:rPr>
      </w:pPr>
      <w:r>
        <w:rPr>
          <w:rFonts w:ascii="Arial" w:hAnsi="Arial" w:cs="Arial"/>
        </w:rPr>
      </w:r>
    </w:p>
    <w:p>
      <w:pPr>
        <w:spacing/>
        <w:jc w:val="both"/>
        <w:rPr>
          <w:rFonts w:ascii="Arial" w:hAnsi="Arial" w:cs="Arial"/>
        </w:rPr>
      </w:pPr>
      <w:r>
        <w:rPr>
          <w:rFonts w:ascii="Arial" w:hAnsi="Arial" w:cs="Arial"/>
        </w:rPr>
        <w:t xml:space="preserve">9.6 Encaminhar a SEMEC por ofício, quando for o caso, cópia do pedido de prorrogação de prazo de entrega ou de troca de marca, para ciência da Seção; </w:t>
      </w:r>
    </w:p>
    <w:p>
      <w:pPr>
        <w:spacing/>
        <w:jc w:val="both"/>
        <w:rPr>
          <w:rFonts w:ascii="Arial" w:hAnsi="Arial" w:cs="Arial"/>
        </w:rPr>
      </w:pPr>
      <w:r>
        <w:rPr>
          <w:rFonts w:ascii="Arial" w:hAnsi="Arial" w:cs="Arial"/>
        </w:rPr>
      </w:r>
    </w:p>
    <w:p>
      <w:pPr>
        <w:spacing/>
        <w:jc w:val="both"/>
        <w:rPr>
          <w:rFonts w:ascii="Arial" w:hAnsi="Arial" w:cs="Arial"/>
        </w:rPr>
      </w:pPr>
      <w:r>
        <w:rPr>
          <w:rFonts w:ascii="Arial" w:hAnsi="Arial" w:cs="Arial"/>
        </w:rPr>
        <w:t xml:space="preserve">9.7 Ressarcir os eventuais prejuízos causados ao município e/ou a terceiros, provocados por ineficiência ou irregularidades cometidas na execução das obrigações assumidas. </w:t>
      </w:r>
    </w:p>
    <w:p>
      <w:pPr>
        <w:spacing/>
        <w:jc w:val="both"/>
        <w:rPr>
          <w:rFonts w:ascii="Arial" w:hAnsi="Arial" w:cs="Arial"/>
        </w:rPr>
      </w:pPr>
      <w:r>
        <w:rPr>
          <w:rFonts w:ascii="Arial" w:hAnsi="Arial" w:cs="Arial"/>
        </w:rPr>
      </w:r>
    </w:p>
    <w:p>
      <w:pPr>
        <w:spacing/>
        <w:jc w:val="both"/>
        <w:rPr>
          <w:rFonts w:ascii="Arial" w:hAnsi="Arial" w:cs="Arial"/>
        </w:rPr>
      </w:pPr>
      <w:r>
        <w:rPr>
          <w:rFonts w:ascii="Arial" w:hAnsi="Arial" w:cs="Arial"/>
        </w:rPr>
        <w:t>9.8 Não poderão ser entregue materiais com vida útil inferior a 90 dias.</w:t>
      </w:r>
    </w:p>
    <w:p>
      <w:pPr>
        <w:spacing/>
        <w:jc w:val="both"/>
        <w:rPr>
          <w:rFonts w:ascii="Arial" w:hAnsi="Arial" w:cs="Arial"/>
        </w:rPr>
      </w:pPr>
      <w:r>
        <w:rPr>
          <w:rFonts w:ascii="Arial" w:hAnsi="Arial" w:cs="Arial"/>
        </w:rPr>
        <w:t xml:space="preserve"> </w:t>
      </w:r>
    </w:p>
    <w:p>
      <w:pPr>
        <w:spacing/>
        <w:jc w:val="both"/>
        <w:rPr>
          <w:rFonts w:ascii="Arial" w:hAnsi="Arial" w:cs="Arial"/>
        </w:rPr>
      </w:pPr>
      <w:r>
        <w:rPr>
          <w:rFonts w:ascii="Arial" w:hAnsi="Arial" w:cs="Arial"/>
        </w:rPr>
        <w:t xml:space="preserve">10. DA RESCISÃO DO CONTRATO </w:t>
      </w:r>
    </w:p>
    <w:p>
      <w:pPr>
        <w:spacing/>
        <w:jc w:val="both"/>
        <w:rPr>
          <w:rFonts w:ascii="Arial" w:hAnsi="Arial" w:cs="Arial"/>
        </w:rPr>
      </w:pPr>
      <w:r>
        <w:rPr>
          <w:rFonts w:ascii="Arial" w:hAnsi="Arial" w:cs="Arial"/>
        </w:rPr>
        <w:t xml:space="preserve"> </w:t>
      </w:r>
    </w:p>
    <w:p>
      <w:pPr>
        <w:spacing/>
        <w:jc w:val="both"/>
        <w:rPr>
          <w:rFonts w:ascii="Arial" w:hAnsi="Arial" w:cs="Arial"/>
        </w:rPr>
      </w:pPr>
      <w:r>
        <w:rPr>
          <w:rFonts w:ascii="Arial" w:hAnsi="Arial" w:cs="Arial"/>
        </w:rPr>
        <w:t xml:space="preserve">10.1 O contrato poderá ser rescindido, a critério da Administração, decorridos 10 (dez) dias após o prazo de entrega estipulado no subitem 6.7, caso a contratada não comprove já ter enviado os materiais via transportadora ou correios, e/ou não apresente justificativas aceitáveis; </w:t>
      </w:r>
    </w:p>
    <w:p>
      <w:pPr>
        <w:spacing/>
        <w:jc w:val="both"/>
        <w:rPr>
          <w:rFonts w:ascii="Arial" w:hAnsi="Arial" w:cs="Arial"/>
        </w:rPr>
      </w:pPr>
      <w:r>
        <w:rPr>
          <w:rFonts w:ascii="Arial" w:hAnsi="Arial" w:cs="Arial"/>
        </w:rPr>
      </w:r>
    </w:p>
    <w:p>
      <w:pPr>
        <w:spacing/>
        <w:jc w:val="both"/>
        <w:rPr>
          <w:rFonts w:ascii="Arial" w:hAnsi="Arial" w:cs="Arial"/>
        </w:rPr>
      </w:pPr>
      <w:r>
        <w:rPr>
          <w:rFonts w:ascii="Arial" w:hAnsi="Arial" w:cs="Arial"/>
        </w:rPr>
        <w:t xml:space="preserve">10.2 A decisão de rescindir o contrato, no caso previsto no subitem 10.1, caberá à Administração, após prévia consulta ao setor solicitante do material, e desde que se vislumbrem possibilidades de prejuízos à Administração; </w:t>
      </w:r>
    </w:p>
    <w:p>
      <w:pPr>
        <w:spacing/>
        <w:jc w:val="both"/>
        <w:rPr>
          <w:rFonts w:ascii="Arial" w:hAnsi="Arial" w:cs="Arial"/>
        </w:rPr>
      </w:pPr>
      <w:r>
        <w:rPr>
          <w:rFonts w:ascii="Arial" w:hAnsi="Arial" w:cs="Arial"/>
        </w:rPr>
      </w:r>
    </w:p>
    <w:p>
      <w:pPr>
        <w:spacing/>
        <w:jc w:val="both"/>
        <w:rPr>
          <w:rFonts w:ascii="Arial" w:hAnsi="Arial" w:cs="Arial"/>
        </w:rPr>
      </w:pPr>
      <w:r>
        <w:rPr>
          <w:rFonts w:ascii="Arial" w:hAnsi="Arial" w:cs="Arial"/>
        </w:rPr>
        <w:t>10.3 Nos casos em que se justifique a rescisão contratual a contratada ficará sujeita às penalidades previstas no item 11.</w:t>
      </w:r>
    </w:p>
    <w:p>
      <w:pPr>
        <w:spacing/>
        <w:jc w:val="both"/>
        <w:rPr>
          <w:rFonts w:ascii="Arial" w:hAnsi="Arial" w:cs="Arial"/>
        </w:rPr>
      </w:pPr>
      <w:r>
        <w:rPr>
          <w:rFonts w:ascii="Arial" w:hAnsi="Arial" w:cs="Arial"/>
        </w:rPr>
        <w:t xml:space="preserve"> </w:t>
      </w:r>
    </w:p>
    <w:p>
      <w:pPr>
        <w:spacing/>
        <w:jc w:val="both"/>
        <w:rPr>
          <w:rFonts w:ascii="Arial" w:hAnsi="Arial" w:cs="Arial"/>
        </w:rPr>
      </w:pPr>
      <w:r>
        <w:rPr>
          <w:rFonts w:ascii="Arial" w:hAnsi="Arial" w:cs="Arial"/>
        </w:rPr>
        <w:t xml:space="preserve">11. PENALIDADES </w:t>
      </w:r>
    </w:p>
    <w:p>
      <w:pPr>
        <w:spacing/>
        <w:jc w:val="both"/>
        <w:rPr>
          <w:rFonts w:ascii="Arial" w:hAnsi="Arial" w:cs="Arial"/>
        </w:rPr>
      </w:pPr>
      <w:r>
        <w:rPr>
          <w:rFonts w:ascii="Arial" w:hAnsi="Arial" w:cs="Arial"/>
        </w:rPr>
        <w:t xml:space="preserve"> </w:t>
      </w:r>
    </w:p>
    <w:p>
      <w:pPr>
        <w:spacing/>
        <w:jc w:val="both"/>
        <w:rPr>
          <w:rFonts w:ascii="Arial" w:hAnsi="Arial" w:cs="Arial"/>
        </w:rPr>
      </w:pPr>
      <w:r>
        <w:rPr>
          <w:rFonts w:ascii="Arial" w:hAnsi="Arial" w:cs="Arial"/>
        </w:rPr>
        <w:t xml:space="preserve">11.1 O descumprimento total ou parcial das obrigações assumidas pela licitante, sem justificativas aceitas pela Administração, resguardados os procedimentos legais pertinentes, poderá acarretar, isolada ou cumulativamente, as sanções administrativas de advertência, multas, ou suspensão temporária do direito de licitar, a critério da Administração; </w:t>
      </w:r>
    </w:p>
    <w:p>
      <w:pPr>
        <w:spacing/>
        <w:jc w:val="both"/>
        <w:rPr>
          <w:rFonts w:ascii="Arial" w:hAnsi="Arial" w:cs="Arial"/>
        </w:rPr>
      </w:pPr>
      <w:r>
        <w:rPr>
          <w:rFonts w:ascii="Arial" w:hAnsi="Arial" w:cs="Arial"/>
        </w:rPr>
      </w:r>
    </w:p>
    <w:p>
      <w:pPr>
        <w:spacing/>
        <w:jc w:val="both"/>
        <w:rPr>
          <w:rFonts w:ascii="Arial" w:hAnsi="Arial" w:cs="Arial"/>
        </w:rPr>
      </w:pPr>
      <w:r>
        <w:rPr>
          <w:rFonts w:ascii="Arial" w:hAnsi="Arial" w:cs="Arial"/>
        </w:rPr>
        <w:t xml:space="preserve">11.2. Considerar-se-á descumprimento parcial do contrato: </w:t>
      </w:r>
    </w:p>
    <w:p>
      <w:pPr>
        <w:spacing/>
        <w:jc w:val="both"/>
        <w:rPr>
          <w:rFonts w:ascii="Arial" w:hAnsi="Arial" w:cs="Arial"/>
        </w:rPr>
      </w:pPr>
      <w:r>
        <w:rPr>
          <w:rFonts w:ascii="Arial" w:hAnsi="Arial" w:cs="Arial"/>
        </w:rPr>
        <w:t xml:space="preserve">a) a entrega dos materiais com atraso; </w:t>
      </w:r>
    </w:p>
    <w:p>
      <w:pPr>
        <w:spacing/>
        <w:jc w:val="both"/>
        <w:rPr>
          <w:rFonts w:ascii="Arial" w:hAnsi="Arial" w:cs="Arial"/>
        </w:rPr>
      </w:pPr>
      <w:r>
        <w:rPr>
          <w:rFonts w:ascii="Arial" w:hAnsi="Arial" w:cs="Arial"/>
        </w:rPr>
        <w:t xml:space="preserve">b) a entrega de materiais diversos do especificado neste Termo de Referência ou do oferecido pelo licitante em sua proposta; </w:t>
      </w:r>
    </w:p>
    <w:p>
      <w:pPr>
        <w:spacing/>
        <w:jc w:val="both"/>
        <w:rPr>
          <w:rFonts w:ascii="Arial" w:hAnsi="Arial" w:cs="Arial"/>
        </w:rPr>
      </w:pPr>
      <w:r>
        <w:rPr>
          <w:rFonts w:ascii="Arial" w:hAnsi="Arial" w:cs="Arial"/>
        </w:rPr>
        <w:t xml:space="preserve">c) a apresentação dos materiais em embalagem violada ou com indícios de má conservação, hipótese em que o recebimento poderá ser rejeitado; </w:t>
      </w:r>
    </w:p>
    <w:p>
      <w:pPr>
        <w:spacing/>
        <w:jc w:val="both"/>
        <w:rPr>
          <w:rFonts w:ascii="Arial" w:hAnsi="Arial" w:cs="Arial"/>
        </w:rPr>
      </w:pPr>
      <w:r>
        <w:rPr>
          <w:rFonts w:ascii="Arial" w:hAnsi="Arial" w:cs="Arial"/>
        </w:rPr>
        <w:t xml:space="preserve">d) a entrega parcial dos materiais solicitados. </w:t>
      </w:r>
    </w:p>
    <w:p>
      <w:pPr>
        <w:spacing/>
        <w:jc w:val="both"/>
        <w:rPr>
          <w:rFonts w:ascii="Arial" w:hAnsi="Arial" w:cs="Arial"/>
        </w:rPr>
      </w:pPr>
      <w:r>
        <w:rPr>
          <w:rFonts w:ascii="Arial" w:hAnsi="Arial" w:cs="Arial"/>
        </w:rPr>
      </w:r>
    </w:p>
    <w:p>
      <w:pPr>
        <w:spacing/>
        <w:jc w:val="both"/>
        <w:rPr>
          <w:rFonts w:ascii="Arial" w:hAnsi="Arial" w:cs="Arial"/>
        </w:rPr>
      </w:pPr>
      <w:r>
        <w:rPr>
          <w:rFonts w:ascii="Arial" w:hAnsi="Arial" w:cs="Arial"/>
        </w:rPr>
        <w:t xml:space="preserve">11.3 Considerar-se-á descumprimento total do contrato: </w:t>
      </w:r>
    </w:p>
    <w:p>
      <w:pPr>
        <w:spacing/>
        <w:jc w:val="both"/>
        <w:rPr>
          <w:rFonts w:ascii="Arial" w:hAnsi="Arial" w:cs="Arial"/>
        </w:rPr>
      </w:pPr>
      <w:r>
        <w:rPr>
          <w:rFonts w:ascii="Arial" w:hAnsi="Arial" w:cs="Arial"/>
        </w:rPr>
        <w:t xml:space="preserve">a) a recusa injustificada em assinar o termo contratual ou receber a nota de empenho; </w:t>
      </w:r>
    </w:p>
    <w:p>
      <w:pPr>
        <w:spacing/>
        <w:jc w:val="both"/>
        <w:rPr>
          <w:rFonts w:ascii="Arial" w:hAnsi="Arial" w:cs="Arial"/>
        </w:rPr>
      </w:pPr>
      <w:r>
        <w:rPr>
          <w:rFonts w:ascii="Arial" w:hAnsi="Arial" w:cs="Arial"/>
        </w:rPr>
        <w:t xml:space="preserve">b) a não entrega do material empenhado; </w:t>
      </w:r>
    </w:p>
    <w:p>
      <w:pPr>
        <w:spacing/>
        <w:jc w:val="both"/>
        <w:rPr>
          <w:rFonts w:ascii="Arial" w:hAnsi="Arial" w:cs="Arial"/>
        </w:rPr>
      </w:pPr>
      <w:r>
        <w:rPr>
          <w:rFonts w:ascii="Arial" w:hAnsi="Arial" w:cs="Arial"/>
        </w:rPr>
      </w:r>
    </w:p>
    <w:p>
      <w:pPr>
        <w:spacing/>
        <w:jc w:val="both"/>
        <w:rPr>
          <w:rFonts w:ascii="Arial" w:hAnsi="Arial" w:cs="Arial"/>
        </w:rPr>
      </w:pPr>
      <w:r>
        <w:rPr>
          <w:rFonts w:ascii="Arial" w:hAnsi="Arial" w:cs="Arial"/>
        </w:rPr>
        <w:t xml:space="preserve">11.4 As sanções administrativas serão aplicadas de acordo com a gravidade das infrações cometidas pela contratada, nos seguintes casos: </w:t>
      </w:r>
    </w:p>
    <w:p>
      <w:pPr>
        <w:spacing/>
        <w:jc w:val="both"/>
        <w:rPr>
          <w:rFonts w:ascii="Arial" w:hAnsi="Arial" w:cs="Arial"/>
        </w:rPr>
      </w:pPr>
      <w:r>
        <w:rPr>
          <w:rFonts w:ascii="Arial" w:hAnsi="Arial" w:cs="Arial"/>
        </w:rPr>
      </w:r>
    </w:p>
    <w:p>
      <w:pPr>
        <w:spacing/>
        <w:jc w:val="both"/>
        <w:rPr>
          <w:rFonts w:ascii="Arial" w:hAnsi="Arial" w:cs="Arial"/>
        </w:rPr>
      </w:pPr>
      <w:r>
        <w:rPr>
          <w:rFonts w:ascii="Arial" w:hAnsi="Arial" w:cs="Arial"/>
        </w:rPr>
        <w:t xml:space="preserve">11.4.1 Advertência, nos casos de descumprimento parcial do contrato. </w:t>
      </w:r>
    </w:p>
    <w:p>
      <w:pPr>
        <w:spacing/>
        <w:jc w:val="both"/>
        <w:rPr>
          <w:rFonts w:ascii="Arial" w:hAnsi="Arial" w:cs="Arial"/>
        </w:rPr>
      </w:pPr>
      <w:r>
        <w:rPr>
          <w:rFonts w:ascii="Arial" w:hAnsi="Arial" w:cs="Arial"/>
        </w:rPr>
        <w:t xml:space="preserve">11.4.2 Multas (que serão recolhidas de acordo com instruções fornecidas pela CONTRATANTE): </w:t>
      </w:r>
    </w:p>
    <w:p>
      <w:pPr>
        <w:spacing/>
        <w:jc w:val="both"/>
        <w:rPr>
          <w:rFonts w:ascii="Arial" w:hAnsi="Arial" w:cs="Arial"/>
        </w:rPr>
      </w:pPr>
      <w:r>
        <w:rPr>
          <w:rFonts w:ascii="Arial" w:hAnsi="Arial" w:cs="Arial"/>
        </w:rPr>
        <w:t xml:space="preserve">a) Multa compensatória de 2% (dois por cento) sobre o valor total empenhado, em caso de prejuízo ocasionado ao município por inexecução parcial ou total do objeto; </w:t>
      </w:r>
    </w:p>
    <w:p>
      <w:pPr>
        <w:spacing/>
        <w:jc w:val="both"/>
        <w:rPr>
          <w:rFonts w:ascii="Arial" w:hAnsi="Arial" w:cs="Arial"/>
        </w:rPr>
      </w:pPr>
      <w:r>
        <w:rPr>
          <w:rFonts w:ascii="Arial" w:hAnsi="Arial" w:cs="Arial"/>
        </w:rPr>
        <w:t xml:space="preserve">b) Multa moratória de 0,5% (cinco décimos por cento) sobre o valor total empenhado, a partir do primeiro dia de inadimplemento; </w:t>
      </w:r>
    </w:p>
    <w:p>
      <w:pPr>
        <w:spacing/>
        <w:jc w:val="both"/>
        <w:rPr>
          <w:rFonts w:ascii="Arial" w:hAnsi="Arial" w:cs="Arial"/>
        </w:rPr>
      </w:pPr>
      <w:r>
        <w:rPr>
          <w:rFonts w:ascii="Arial" w:hAnsi="Arial" w:cs="Arial"/>
        </w:rPr>
        <w:t xml:space="preserve">c) O valor da multa poderá ser descontado do pagamento a ser efetuado ao fornecedor; </w:t>
      </w:r>
    </w:p>
    <w:p>
      <w:pPr>
        <w:spacing/>
        <w:jc w:val="both"/>
        <w:rPr>
          <w:rFonts w:ascii="Arial" w:hAnsi="Arial" w:cs="Arial"/>
        </w:rPr>
      </w:pPr>
      <w:r>
        <w:rPr>
          <w:rFonts w:ascii="Arial" w:hAnsi="Arial" w:cs="Arial"/>
        </w:rPr>
        <w:t xml:space="preserve">d) Se o valor do pagamento for insuficiente, fica o fornecedor obrigado a recolher a importância devida no prazo de 15 (quinze) dias, contados da comunicação oficial; </w:t>
      </w:r>
    </w:p>
    <w:p>
      <w:pPr>
        <w:spacing/>
        <w:jc w:val="both"/>
        <w:rPr>
          <w:rFonts w:ascii="Arial" w:hAnsi="Arial" w:cs="Arial"/>
        </w:rPr>
      </w:pPr>
      <w:r>
        <w:rPr>
          <w:rFonts w:ascii="Arial" w:hAnsi="Arial" w:cs="Arial"/>
        </w:rPr>
        <w:t xml:space="preserve">e) Esgotados os meios administrativos para cobrança do valor devido pelo fornecedor, este será encaminhado para inscrição em dívida ativa. </w:t>
      </w:r>
    </w:p>
    <w:p>
      <w:pPr>
        <w:spacing/>
        <w:jc w:val="both"/>
        <w:rPr>
          <w:rFonts w:ascii="Arial" w:hAnsi="Arial" w:cs="Arial"/>
        </w:rPr>
      </w:pPr>
      <w:r>
        <w:rPr>
          <w:rFonts w:ascii="Arial" w:hAnsi="Arial" w:cs="Arial"/>
        </w:rPr>
      </w:r>
    </w:p>
    <w:p>
      <w:pPr>
        <w:spacing/>
        <w:jc w:val="both"/>
        <w:rPr>
          <w:rFonts w:ascii="Arial" w:hAnsi="Arial" w:cs="Arial"/>
        </w:rPr>
      </w:pPr>
      <w:r>
        <w:rPr>
          <w:rFonts w:ascii="Arial" w:hAnsi="Arial" w:cs="Arial"/>
        </w:rPr>
        <w:t xml:space="preserve">11.4.3 Declaração de inidoneidade para licitar ou contratar com a Administração Pública enquanto perdurem os motivos determinantes da punição ou até que seja promovida a reabilitação, que será concedida sempre que o fornecedor ressarcir a Administração pelos prejuízos resultantes ou depois de decorrido o prazo da sanção aplicada; </w:t>
      </w:r>
    </w:p>
    <w:p>
      <w:pPr>
        <w:spacing/>
        <w:jc w:val="both"/>
        <w:rPr>
          <w:rFonts w:ascii="Arial" w:hAnsi="Arial" w:cs="Arial"/>
        </w:rPr>
      </w:pPr>
      <w:r>
        <w:rPr>
          <w:rFonts w:ascii="Arial" w:hAnsi="Arial" w:cs="Arial"/>
        </w:rPr>
      </w:r>
    </w:p>
    <w:p>
      <w:pPr>
        <w:spacing/>
        <w:jc w:val="both"/>
        <w:rPr>
          <w:rFonts w:ascii="Arial" w:hAnsi="Arial" w:cs="Arial"/>
        </w:rPr>
      </w:pPr>
      <w:r>
        <w:rPr>
          <w:rFonts w:ascii="Arial" w:hAnsi="Arial" w:cs="Arial"/>
        </w:rPr>
        <w:t xml:space="preserve">11.5 Quaisquer das Sanções Administrativas poderão, a juízo da Administração e havendo compatibilidade, ser aplicadas de forma concomitante; </w:t>
      </w:r>
    </w:p>
    <w:p>
      <w:pPr>
        <w:spacing/>
        <w:jc w:val="both"/>
        <w:rPr>
          <w:rFonts w:ascii="Arial" w:hAnsi="Arial" w:cs="Arial"/>
        </w:rPr>
      </w:pPr>
      <w:r>
        <w:rPr>
          <w:rFonts w:ascii="Arial" w:hAnsi="Arial" w:cs="Arial"/>
        </w:rPr>
      </w:r>
    </w:p>
    <w:p>
      <w:pPr>
        <w:spacing/>
        <w:jc w:val="both"/>
        <w:rPr>
          <w:rFonts w:ascii="Arial" w:hAnsi="Arial" w:cs="Arial"/>
        </w:rPr>
      </w:pPr>
      <w:r>
        <w:rPr>
          <w:rFonts w:ascii="Arial" w:hAnsi="Arial" w:cs="Arial"/>
        </w:rPr>
        <w:t xml:space="preserve">11.6 Deverão ser observados, na hipótese de aplicação das Sanções Administrativas, os princípios do devido processo legal e da ampla defesa, no prazo de até 05 (cinco) dias úteis a contar do dia em que tomar conhecimento dos fatos; </w:t>
      </w:r>
    </w:p>
    <w:p>
      <w:pPr>
        <w:spacing/>
        <w:jc w:val="both"/>
        <w:rPr>
          <w:rFonts w:ascii="Arial" w:hAnsi="Arial" w:cs="Arial"/>
        </w:rPr>
      </w:pPr>
      <w:r>
        <w:rPr>
          <w:rFonts w:ascii="Arial" w:hAnsi="Arial" w:cs="Arial"/>
        </w:rPr>
      </w:r>
    </w:p>
    <w:p>
      <w:pPr>
        <w:spacing/>
        <w:jc w:val="both"/>
        <w:rPr>
          <w:rFonts w:ascii="Arial" w:hAnsi="Arial" w:cs="Arial"/>
        </w:rPr>
      </w:pPr>
      <w:r>
        <w:rPr>
          <w:rFonts w:ascii="Arial" w:hAnsi="Arial" w:cs="Arial"/>
        </w:rPr>
        <w:t xml:space="preserve">11.7 A aplicação das referidas Sanções Administrativas não anula as responsabilidades legais da licitante por perdas e danos causados à Administração Pública. </w:t>
      </w:r>
    </w:p>
    <w:p>
      <w:pPr>
        <w:spacing/>
        <w:jc w:val="both"/>
        <w:rPr>
          <w:rFonts w:ascii="Arial" w:hAnsi="Arial" w:cs="Arial"/>
        </w:rPr>
      </w:pPr>
      <w:r>
        <w:rPr>
          <w:rFonts w:ascii="Arial" w:hAnsi="Arial" w:cs="Arial"/>
        </w:rPr>
        <w:t xml:space="preserve"> </w:t>
      </w:r>
    </w:p>
    <w:p>
      <w:pPr>
        <w:spacing/>
        <w:jc w:val="both"/>
        <w:rPr>
          <w:rFonts w:ascii="Arial" w:hAnsi="Arial" w:cs="Arial"/>
        </w:rPr>
      </w:pPr>
      <w:r>
        <w:rPr>
          <w:rFonts w:ascii="Arial" w:hAnsi="Arial" w:cs="Arial"/>
        </w:rPr>
        <w:t xml:space="preserve">12. FISCALIZAÇÃO </w:t>
      </w:r>
    </w:p>
    <w:p>
      <w:pPr>
        <w:numPr>
          <w:ilvl w:val="0"/>
          <w:numId w:val="1"/>
        </w:numPr>
        <w:ind w:left="720" w:hanging="360"/>
        <w:spacing/>
        <w:jc w:val="both"/>
        <w:rPr>
          <w:rFonts w:ascii="Arial" w:hAnsi="Arial" w:cs="Arial"/>
        </w:rPr>
      </w:pPr>
      <w:r>
        <w:rPr>
          <w:rFonts w:ascii="Arial" w:hAnsi="Arial" w:cs="Arial"/>
        </w:rPr>
        <w:t>Sempre que necessário, serão efetuados procedimentos para fiscalização do contrato.</w:t>
      </w:r>
    </w:p>
    <w:p>
      <w:pPr>
        <w:numPr>
          <w:ilvl w:val="0"/>
          <w:numId w:val="1"/>
        </w:numPr>
        <w:ind w:left="720" w:hanging="360"/>
        <w:spacing/>
        <w:jc w:val="both"/>
        <w:rPr>
          <w:rFonts w:ascii="Arial" w:hAnsi="Arial" w:cs="Arial"/>
        </w:rPr>
      </w:pPr>
      <w:r>
        <w:rPr>
          <w:rFonts w:ascii="Arial" w:hAnsi="Arial" w:cs="Arial"/>
        </w:rPr>
        <w:t>A contratada poderá ser convocada a esta Prefeitura Municipal para prestar esclarecimentos a respeito da execução do contrato.</w:t>
      </w:r>
    </w:p>
    <w:p>
      <w:pPr>
        <w:numPr>
          <w:ilvl w:val="0"/>
          <w:numId w:val="1"/>
        </w:numPr>
        <w:ind w:left="720" w:hanging="360"/>
        <w:spacing/>
        <w:jc w:val="both"/>
        <w:rPr>
          <w:rFonts w:ascii="Arial" w:hAnsi="Arial" w:cs="Arial"/>
        </w:rPr>
      </w:pPr>
      <w:r>
        <w:rPr>
          <w:rFonts w:ascii="Arial" w:hAnsi="Arial" w:cs="Arial"/>
        </w:rPr>
        <w:t>A ação da fiscalização não exonera a contratada de suas responsabilidades contratuais.</w:t>
      </w:r>
    </w:p>
    <w:p>
      <w:pPr>
        <w:ind w:left="720"/>
        <w:spacing/>
        <w:jc w:val="both"/>
        <w:rPr>
          <w:rFonts w:ascii="Arial" w:hAnsi="Arial" w:cs="Arial"/>
        </w:rPr>
      </w:pPr>
      <w:r>
        <w:rPr>
          <w:rFonts w:ascii="Arial" w:hAnsi="Arial" w:cs="Arial"/>
        </w:rPr>
      </w:r>
    </w:p>
    <w:p>
      <w:pPr>
        <w:spacing/>
        <w:jc w:val="both"/>
        <w:rPr>
          <w:rFonts w:ascii="Arial" w:hAnsi="Arial" w:cs="Arial"/>
        </w:rPr>
      </w:pPr>
      <w:r>
        <w:rPr>
          <w:rFonts w:ascii="Arial" w:hAnsi="Arial" w:cs="Arial"/>
        </w:rPr>
        <w:t xml:space="preserve">Para tanto a SEMEC indica o servidor </w:t>
      </w:r>
      <w:r>
        <w:rPr>
          <w:rFonts w:ascii="Arial" w:hAnsi="Arial" w:cs="Arial"/>
          <w:b/>
        </w:rPr>
        <w:t>Eder Manoel Calegari</w:t>
      </w:r>
      <w:r>
        <w:rPr>
          <w:rFonts w:ascii="Arial" w:hAnsi="Arial" w:cs="Arial"/>
        </w:rPr>
        <w:t>, para atuar</w:t>
      </w:r>
      <w:r>
        <w:rPr>
          <w:rFonts w:ascii="Arial" w:hAnsi="Arial" w:cs="Arial"/>
          <w:b/>
        </w:rPr>
        <w:t xml:space="preserve"> </w:t>
      </w:r>
      <w:r>
        <w:rPr>
          <w:rFonts w:ascii="Arial" w:hAnsi="Arial" w:cs="Arial"/>
        </w:rPr>
        <w:t xml:space="preserve">como fiscal do contrato a ser celebrado. </w:t>
      </w:r>
    </w:p>
    <w:p>
      <w:pPr>
        <w:spacing/>
        <w:jc w:val="both"/>
        <w:rPr>
          <w:rFonts w:ascii="Arial" w:hAnsi="Arial" w:cs="Arial"/>
        </w:rPr>
      </w:pPr>
      <w:r>
        <w:rPr>
          <w:rFonts w:ascii="Arial" w:hAnsi="Arial" w:cs="Arial"/>
        </w:rPr>
      </w:r>
    </w:p>
    <w:p>
      <w:pPr>
        <w:spacing/>
        <w:jc w:val="both"/>
        <w:rPr>
          <w:rFonts w:ascii="Arial" w:hAnsi="Arial" w:cs="Arial"/>
        </w:rPr>
      </w:pPr>
      <w:r>
        <w:rPr>
          <w:rFonts w:ascii="Arial" w:hAnsi="Arial" w:cs="Arial"/>
        </w:rPr>
        <w:t>13. VIGÊNCIA DO CONTRATO</w:t>
      </w:r>
    </w:p>
    <w:p>
      <w:pPr>
        <w:spacing/>
        <w:jc w:val="both"/>
        <w:rPr>
          <w:rFonts w:ascii="Arial" w:hAnsi="Arial" w:cs="Arial"/>
        </w:rPr>
      </w:pPr>
      <w:r>
        <w:rPr>
          <w:rFonts w:ascii="Arial" w:hAnsi="Arial" w:cs="Arial"/>
        </w:rPr>
      </w:r>
    </w:p>
    <w:p>
      <w:pPr>
        <w:spacing/>
        <w:jc w:val="both"/>
        <w:rPr>
          <w:rFonts w:ascii="Arial" w:hAnsi="Arial" w:cs="Arial"/>
        </w:rPr>
      </w:pPr>
      <w:r>
        <w:rPr>
          <w:rFonts w:ascii="Arial" w:hAnsi="Arial" w:cs="Arial"/>
        </w:rPr>
        <w:t>O Contrato terá vigência de 12 (doze) meses, contados a partir de sua assinatura.</w:t>
      </w:r>
    </w:p>
    <w:p>
      <w:pPr>
        <w:spacing/>
        <w:jc w:val="both"/>
        <w:rPr>
          <w:rFonts w:ascii="Arial" w:hAnsi="Arial" w:cs="Arial"/>
        </w:rPr>
      </w:pPr>
      <w:r>
        <w:rPr>
          <w:rFonts w:ascii="Arial" w:hAnsi="Arial" w:cs="Arial"/>
        </w:rPr>
      </w:r>
    </w:p>
    <w:p>
      <w:pPr>
        <w:spacing/>
        <w:jc w:val="both"/>
        <w:rPr>
          <w:rFonts w:ascii="Arial" w:hAnsi="Arial" w:cs="Arial"/>
        </w:rPr>
      </w:pPr>
      <w:r>
        <w:rPr>
          <w:rFonts w:ascii="Arial" w:hAnsi="Arial" w:cs="Arial"/>
        </w:rPr>
        <w:t>14. INFORMAÇÕES</w:t>
      </w:r>
    </w:p>
    <w:p>
      <w:pPr>
        <w:spacing/>
        <w:jc w:val="both"/>
        <w:rPr>
          <w:rFonts w:ascii="Arial" w:hAnsi="Arial" w:cs="Arial"/>
        </w:rPr>
      </w:pPr>
      <w:r>
        <w:rPr>
          <w:rFonts w:ascii="Arial" w:hAnsi="Arial" w:cs="Arial"/>
        </w:rPr>
      </w:r>
    </w:p>
    <w:p>
      <w:pPr>
        <w:spacing/>
        <w:jc w:val="both"/>
        <w:rPr>
          <w:rFonts w:ascii="Arial" w:hAnsi="Arial" w:cs="Arial"/>
        </w:rPr>
      </w:pPr>
      <w:r>
        <w:rPr>
          <w:rFonts w:ascii="Arial" w:hAnsi="Arial" w:cs="Arial"/>
        </w:rPr>
        <w:t>Qualquer dúvida a cerca deste processo deverá ser encaminhada para o setor de licitações de preferência via e-mail</w:t>
      </w:r>
      <w:r>
        <w:rPr>
          <w:rFonts w:ascii="Arial" w:hAnsi="Arial" w:cs="Arial"/>
          <w:color w:val="ff0000"/>
        </w:rPr>
        <w:t xml:space="preserve"> </w:t>
      </w:r>
      <w:r>
        <w:rPr>
          <w:rFonts w:ascii="Arial" w:hAnsi="Arial" w:cs="Arial"/>
          <w:u w:color="auto" w:val="single"/>
        </w:rPr>
        <w:t>“licitasdn@hotmail.com”</w:t>
      </w:r>
      <w:r>
        <w:rPr>
          <w:rFonts w:ascii="Arial" w:hAnsi="Arial" w:cs="Arial"/>
          <w:color w:val="ff0000"/>
        </w:rPr>
        <w:t xml:space="preserve"> </w:t>
      </w:r>
      <w:r>
        <w:rPr>
          <w:rFonts w:ascii="Arial" w:hAnsi="Arial" w:cs="Arial"/>
        </w:rPr>
        <w:t>ou por protocolo, no protocolo da Prefeitura Municipal de São Domingos do Norte, Rodovia Gether Lopes de Farias s/nº - Bairro Emilio Callegari São Domingos do Norte/ES – CEP: 29.745-000 – Fone (27) 3742-0200.</w:t>
      </w:r>
    </w:p>
    <w:p>
      <w:pPr>
        <w:spacing/>
        <w:jc w:val="both"/>
        <w:rPr>
          <w:rFonts w:ascii="Arial" w:hAnsi="Arial" w:cs="Arial"/>
          <w:color w:val="ff0000"/>
        </w:rPr>
      </w:pPr>
      <w:r>
        <w:rPr>
          <w:rFonts w:ascii="Arial" w:hAnsi="Arial" w:cs="Arial"/>
          <w:b/>
        </w:rPr>
        <w:t>Pessoa de Contato:</w:t>
      </w:r>
      <w:r>
        <w:rPr>
          <w:rFonts w:ascii="Arial" w:hAnsi="Arial" w:cs="Arial"/>
        </w:rPr>
        <w:t xml:space="preserve"> REINALDO GUARESCHI</w:t>
      </w:r>
      <w:r>
        <w:rPr>
          <w:rFonts w:ascii="Arial" w:hAnsi="Arial" w:cs="Arial"/>
          <w:color w:val="ff0000"/>
        </w:rPr>
        <w:t xml:space="preserve"> </w:t>
      </w:r>
    </w:p>
    <w:p>
      <w:pPr>
        <w:spacing/>
        <w:jc w:val="both"/>
        <w:rPr>
          <w:rFonts w:ascii="Arial" w:hAnsi="Arial" w:cs="Arial"/>
        </w:rPr>
      </w:pPr>
      <w:r>
        <w:rPr>
          <w:rFonts w:ascii="Arial" w:hAnsi="Arial" w:cs="Arial"/>
          <w:b/>
        </w:rPr>
        <w:t>Horário:</w:t>
      </w:r>
      <w:r>
        <w:rPr>
          <w:rFonts w:ascii="Arial" w:hAnsi="Arial" w:cs="Arial"/>
        </w:rPr>
        <w:t xml:space="preserve"> 07.30 horas às 16.30 horas de segunda a sexta-feira.</w:t>
      </w:r>
    </w:p>
    <w:p>
      <w:pPr>
        <w:spacing/>
        <w:jc w:val="both"/>
        <w:rPr>
          <w:rFonts w:ascii="Arial" w:hAnsi="Arial" w:cs="Arial"/>
        </w:rPr>
      </w:pPr>
      <w:r>
        <w:rPr>
          <w:rFonts w:ascii="Arial" w:hAnsi="Arial" w:cs="Arial"/>
        </w:rPr>
      </w:r>
    </w:p>
    <w:p>
      <w:pPr>
        <w:spacing/>
        <w:jc w:val="both"/>
        <w:rPr>
          <w:rFonts w:ascii="Arial" w:hAnsi="Arial" w:cs="Arial"/>
        </w:rPr>
      </w:pPr>
      <w:r>
        <w:rPr>
          <w:rFonts w:ascii="Arial" w:hAnsi="Arial" w:cs="Arial"/>
        </w:rPr>
        <w:t xml:space="preserve">14. RESPONSÁVEL PELA ELABORAÇÃO </w:t>
      </w:r>
    </w:p>
    <w:p>
      <w:pPr>
        <w:spacing/>
        <w:jc w:val="both"/>
        <w:rPr>
          <w:rFonts w:ascii="Arial" w:hAnsi="Arial" w:cs="Arial"/>
        </w:rPr>
      </w:pPr>
      <w:r>
        <w:rPr>
          <w:rFonts w:ascii="Arial" w:hAnsi="Arial" w:cs="Arial"/>
        </w:rPr>
      </w:r>
    </w:p>
    <w:tbl>
      <w:tblPr>
        <w:name w:val="Tabela1"/>
        <w:tabOrder w:val="0"/>
        <w:jc w:val="left"/>
        <w:tblInd w:w="108" w:type="dxa"/>
        <w:tblW w:w="10206" w:type="dxa"/>
      </w:tblPr>
      <w:tblGrid>
        <w:gridCol w:w="3686"/>
        <w:gridCol w:w="4252"/>
        <w:gridCol w:w="2268"/>
      </w:tblGrid>
      <w:tr>
        <w:trPr>
          <w:tblHeader w:val="0"/>
          <w:cantSplit w:val="0"/>
          <w:trHeight w:val="210" w:hRule="atLeast"/>
        </w:trPr>
        <w:tc>
          <w:tcPr>
            <w:tcW w:w="3686" w:type="dxa"/>
            <w:shd w:val="solid" w:color="BFBFBF" tmshd="1677721856, 0, 12566463"/>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rFonts w:ascii="Arial" w:hAnsi="Arial" w:cs="Arial"/>
                <w:b/>
              </w:rPr>
            </w:pPr>
            <w:r>
              <w:rPr>
                <w:rFonts w:ascii="Arial" w:hAnsi="Arial" w:cs="Arial"/>
                <w:b/>
              </w:rPr>
              <w:t>NOME</w:t>
            </w:r>
          </w:p>
        </w:tc>
        <w:tc>
          <w:tcPr>
            <w:tcW w:w="4252" w:type="dxa"/>
            <w:shd w:val="solid" w:color="BFBFBF" tmshd="1677721856, 0, 12566463"/>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rFonts w:ascii="Arial" w:hAnsi="Arial" w:cs="Arial"/>
                <w:b/>
              </w:rPr>
            </w:pPr>
            <w:r>
              <w:rPr>
                <w:rFonts w:ascii="Arial" w:hAnsi="Arial" w:cs="Arial"/>
                <w:b/>
              </w:rPr>
              <w:t>FUNÇÃO</w:t>
            </w:r>
          </w:p>
        </w:tc>
        <w:tc>
          <w:tcPr>
            <w:tcW w:w="2268" w:type="dxa"/>
            <w:shd w:val="solid" w:color="BFBFBF" tmshd="1677721856, 0, 12566463"/>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rFonts w:ascii="Arial" w:hAnsi="Arial" w:cs="Arial"/>
                <w:b/>
              </w:rPr>
            </w:pPr>
            <w:r>
              <w:rPr>
                <w:rFonts w:ascii="Arial" w:hAnsi="Arial" w:cs="Arial"/>
                <w:b/>
              </w:rPr>
              <w:t>MATRÍCULA</w:t>
            </w:r>
          </w:p>
        </w:tc>
      </w:tr>
      <w:tr>
        <w:trPr>
          <w:tblHeader w:val="0"/>
          <w:cantSplit w:val="0"/>
          <w:trHeight w:val="324" w:hRule="atLeast"/>
        </w:trPr>
        <w:tc>
          <w:tcPr>
            <w:tcW w:w="3686"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rFonts w:ascii="Arial" w:hAnsi="Arial" w:cs="Arial"/>
              </w:rPr>
            </w:pPr>
            <w:r>
              <w:rPr>
                <w:rFonts w:ascii="Arial" w:hAnsi="Arial" w:cs="Arial"/>
              </w:rPr>
              <w:t>- EDER MANOEL CALEGARI</w:t>
            </w:r>
          </w:p>
        </w:tc>
        <w:tc>
          <w:tcPr>
            <w:tcW w:w="425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rFonts w:ascii="Arial" w:hAnsi="Arial" w:cs="Arial"/>
              </w:rPr>
            </w:pPr>
            <w:r>
              <w:rPr>
                <w:rFonts w:ascii="Arial" w:hAnsi="Arial" w:cs="Arial"/>
              </w:rPr>
              <w:t>RESPONSÁVEL PELO ALMOXARIFADO</w:t>
            </w:r>
          </w:p>
        </w:tc>
        <w:tc>
          <w:tcPr>
            <w:tcW w:w="226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rFonts w:ascii="Arial" w:hAnsi="Arial" w:cs="Arial"/>
              </w:rPr>
            </w:pPr>
            <w:r>
              <w:rPr>
                <w:rFonts w:ascii="Arial" w:hAnsi="Arial" w:cs="Arial"/>
              </w:rPr>
            </w:r>
          </w:p>
        </w:tc>
      </w:tr>
    </w:tbl>
    <w:p>
      <w:pPr>
        <w:spacing/>
        <w:jc w:val="both"/>
        <w:rPr>
          <w:rFonts w:ascii="Arial" w:hAnsi="Arial" w:cs="Arial"/>
        </w:rPr>
      </w:pPr>
      <w:r>
        <w:rPr>
          <w:rFonts w:ascii="Arial" w:hAnsi="Arial" w:cs="Arial"/>
        </w:rPr>
      </w:r>
    </w:p>
    <w:p>
      <w:pPr>
        <w:spacing/>
        <w:jc w:val="both"/>
        <w:rPr>
          <w:rFonts w:ascii="Arial" w:hAnsi="Arial" w:cs="Arial"/>
        </w:rPr>
      </w:pPr>
      <w:r>
        <w:rPr>
          <w:rFonts w:ascii="Arial" w:hAnsi="Arial" w:cs="Arial"/>
        </w:rPr>
      </w:r>
    </w:p>
    <w:p>
      <w:pPr>
        <w:spacing/>
        <w:jc w:val="both"/>
        <w:rPr>
          <w:rFonts w:ascii="Arial" w:hAnsi="Arial" w:cs="Arial"/>
        </w:rPr>
      </w:pPr>
      <w:r>
        <w:rPr>
          <w:rFonts w:ascii="Arial" w:hAnsi="Arial" w:cs="Arial"/>
        </w:rPr>
        <w:t>São Domingos do Norte/ES, 24 de JULHO 2019.</w:t>
      </w:r>
    </w:p>
    <w:p>
      <w:pPr>
        <w:spacing/>
        <w:jc w:val="both"/>
        <w:rPr>
          <w:rFonts w:ascii="Arial" w:hAnsi="Arial" w:cs="Arial"/>
        </w:rPr>
      </w:pPr>
      <w:r>
        <w:rPr>
          <w:rFonts w:ascii="Arial" w:hAnsi="Arial" w:cs="Arial"/>
        </w:rPr>
      </w:r>
    </w:p>
    <w:p>
      <w:pPr>
        <w:spacing/>
        <w:jc w:val="both"/>
        <w:rPr>
          <w:rFonts w:ascii="Arial" w:hAnsi="Arial" w:cs="Arial"/>
        </w:rPr>
      </w:pPr>
      <w:r>
        <w:rPr>
          <w:rFonts w:ascii="Arial" w:hAnsi="Arial" w:cs="Arial"/>
        </w:rPr>
      </w:r>
    </w:p>
    <w:p>
      <w:pPr>
        <w:spacing/>
        <w:jc w:val="both"/>
        <w:rPr>
          <w:rFonts w:ascii="Arial" w:hAnsi="Arial" w:cs="Arial"/>
        </w:rPr>
      </w:pPr>
      <w:r>
        <w:rPr>
          <w:rFonts w:ascii="Arial" w:hAnsi="Arial" w:cs="Arial"/>
        </w:rPr>
      </w:r>
    </w:p>
    <w:p>
      <w:pPr>
        <w:spacing/>
        <w:jc w:val="both"/>
        <w:rPr>
          <w:rFonts w:ascii="Arial" w:hAnsi="Arial" w:cs="Arial"/>
        </w:rPr>
      </w:pPr>
      <w:r>
        <w:rPr>
          <w:rFonts w:ascii="Arial" w:hAnsi="Arial" w:cs="Arial"/>
        </w:rPr>
      </w:r>
    </w:p>
    <w:p>
      <w:pPr>
        <w:spacing/>
        <w:jc w:val="both"/>
        <w:rPr>
          <w:rFonts w:ascii="Arial" w:hAnsi="Arial" w:cs="Arial"/>
        </w:rPr>
      </w:pPr>
      <w:r>
        <w:rPr>
          <w:rFonts w:ascii="Arial" w:hAnsi="Arial" w:cs="Arial"/>
        </w:rPr>
      </w:r>
    </w:p>
    <w:p>
      <w:pPr>
        <w:spacing/>
        <w:jc w:val="both"/>
        <w:rPr>
          <w:rFonts w:ascii="Arial" w:hAnsi="Arial" w:cs="Arial"/>
        </w:rPr>
      </w:pPr>
      <w:r>
        <w:rPr>
          <w:rFonts w:ascii="Arial" w:hAnsi="Arial" w:cs="Arial"/>
        </w:rPr>
      </w:r>
    </w:p>
    <w:p>
      <w:pPr>
        <w:spacing/>
        <w:jc w:val="both"/>
        <w:rPr>
          <w:rFonts w:ascii="Arial" w:hAnsi="Arial" w:cs="Arial"/>
        </w:rPr>
      </w:pPr>
      <w:r>
        <w:rPr>
          <w:rFonts w:ascii="Arial" w:hAnsi="Arial" w:cs="Arial"/>
        </w:rPr>
      </w:r>
    </w:p>
    <w:p>
      <w:pPr>
        <w:spacing/>
        <w:jc w:val="center"/>
        <w:rPr>
          <w:rFonts w:ascii="Arial" w:hAnsi="Arial" w:cs="Arial"/>
          <w:b/>
        </w:rPr>
      </w:pPr>
      <w:r>
        <w:rPr>
          <w:rFonts w:ascii="Arial" w:hAnsi="Arial" w:cs="Arial"/>
          <w:b/>
        </w:rPr>
        <w:t>EDER MANOEL CALEGARI</w:t>
      </w:r>
    </w:p>
    <w:p>
      <w:pPr>
        <w:spacing/>
        <w:jc w:val="center"/>
        <w:rPr>
          <w:rFonts w:ascii="Arial" w:hAnsi="Arial" w:cs="Arial"/>
          <w:b/>
        </w:rPr>
      </w:pPr>
      <w:r>
        <w:rPr>
          <w:rFonts w:ascii="Arial" w:hAnsi="Arial" w:cs="Arial"/>
          <w:b/>
        </w:rPr>
        <w:t>Coordenador de Esportes / responsável pelo almoxarifado</w:t>
      </w:r>
    </w:p>
    <w:p>
      <w:pPr>
        <w:spacing/>
        <w:jc w:val="both"/>
        <w:rPr>
          <w:rFonts w:ascii="Arial" w:hAnsi="Arial" w:cs="Arial"/>
        </w:rPr>
      </w:pPr>
      <w:r>
        <w:rPr>
          <w:rFonts w:ascii="Arial" w:hAnsi="Arial" w:cs="Arial"/>
        </w:rPr>
      </w:r>
    </w:p>
    <w:p>
      <w:pPr>
        <w:spacing/>
        <w:jc w:val="both"/>
        <w:rPr>
          <w:rFonts w:ascii="Arial" w:hAnsi="Arial" w:cs="Arial"/>
        </w:rPr>
      </w:pPr>
      <w:r>
        <w:rPr>
          <w:rFonts w:ascii="Arial" w:hAnsi="Arial" w:cs="Arial"/>
        </w:rPr>
      </w:r>
    </w:p>
    <w:p>
      <w:pPr>
        <w:spacing/>
        <w:jc w:val="both"/>
        <w:rPr>
          <w:rFonts w:ascii="Arial" w:hAnsi="Arial" w:cs="Arial"/>
        </w:rPr>
      </w:pPr>
      <w:r>
        <w:rPr>
          <w:rFonts w:ascii="Arial" w:hAnsi="Arial" w:cs="Arial"/>
        </w:rPr>
      </w:r>
    </w:p>
    <w:p>
      <w:pPr>
        <w:spacing/>
        <w:jc w:val="both"/>
        <w:rPr>
          <w:rFonts w:ascii="Arial" w:hAnsi="Arial" w:cs="Arial"/>
        </w:rPr>
      </w:pPr>
      <w:r>
        <w:rPr>
          <w:rFonts w:ascii="Arial" w:hAnsi="Arial" w:cs="Arial"/>
        </w:rPr>
      </w:r>
    </w:p>
    <w:p>
      <w:pPr>
        <w:spacing/>
        <w:jc w:val="both"/>
        <w:rPr>
          <w:rFonts w:ascii="Arial" w:hAnsi="Arial" w:cs="Arial"/>
        </w:rPr>
      </w:pPr>
      <w:r>
        <w:rPr>
          <w:rFonts w:ascii="Arial" w:hAnsi="Arial" w:cs="Arial"/>
        </w:rPr>
      </w:r>
    </w:p>
    <w:p>
      <w:pPr>
        <w:spacing/>
        <w:jc w:val="center"/>
        <w:rPr>
          <w:rFonts w:ascii="Arial" w:hAnsi="Arial" w:cs="Arial"/>
          <w:b/>
        </w:rPr>
      </w:pPr>
      <w:r>
        <w:rPr>
          <w:rFonts w:ascii="Arial" w:hAnsi="Arial" w:cs="Arial"/>
          <w:b/>
        </w:rPr>
        <w:t>LEONEIDE BARBOSA DA SILVA</w:t>
      </w:r>
    </w:p>
    <w:p>
      <w:pPr>
        <w:spacing/>
        <w:jc w:val="center"/>
        <w:rPr>
          <w:rFonts w:ascii="Arial" w:hAnsi="Arial" w:cs="Arial"/>
          <w:b/>
        </w:rPr>
      </w:pPr>
      <w:r>
        <w:rPr>
          <w:rFonts w:ascii="Arial" w:hAnsi="Arial" w:cs="Arial"/>
          <w:b/>
        </w:rPr>
        <w:t>Secretário Municipal de Educação e Cultura</w:t>
      </w:r>
    </w:p>
    <w:p>
      <w:pPr>
        <w:spacing/>
        <w:jc w:val="both"/>
        <w:rPr>
          <w:rFonts w:ascii="Arial" w:hAnsi="Arial" w:cs="Arial"/>
        </w:rPr>
      </w:pPr>
      <w:r>
        <w:rPr>
          <w:rFonts w:ascii="Arial" w:hAnsi="Arial" w:cs="Arial"/>
        </w:rPr>
      </w:r>
    </w:p>
    <w:p>
      <w:pPr>
        <w:spacing/>
        <w:jc w:val="both"/>
        <w:rPr>
          <w:rFonts w:ascii="Arial" w:hAnsi="Arial" w:cs="Arial"/>
        </w:rPr>
      </w:pPr>
      <w:r>
        <w:rPr>
          <w:rFonts w:ascii="Arial" w:hAnsi="Arial" w:cs="Arial"/>
        </w:rPr>
      </w:r>
    </w:p>
    <w:p>
      <w:pPr>
        <w:spacing/>
        <w:jc w:val="both"/>
        <w:rPr>
          <w:rFonts w:ascii="Arial" w:hAnsi="Arial" w:cs="Arial"/>
        </w:rPr>
      </w:pPr>
      <w:r>
        <w:rPr>
          <w:rFonts w:ascii="Arial" w:hAnsi="Arial" w:cs="Arial"/>
        </w:rPr>
      </w:r>
    </w:p>
    <w:p>
      <w:pPr>
        <w:spacing/>
        <w:jc w:val="both"/>
        <w:rPr>
          <w:rFonts w:ascii="Arial" w:hAnsi="Arial" w:cs="Arial"/>
        </w:rPr>
      </w:pPr>
      <w:r>
        <w:rPr>
          <w:rFonts w:ascii="Arial" w:hAnsi="Arial" w:cs="Arial"/>
        </w:rPr>
      </w:r>
    </w:p>
    <w:tbl>
      <w:tblPr>
        <w:name w:val="Tabela2"/>
        <w:tabOrder w:val="0"/>
        <w:jc w:val="left"/>
        <w:tblInd w:w="-72" w:type="dxa"/>
        <w:tblW w:w="10210" w:type="dxa"/>
      </w:tblPr>
      <w:tblGrid>
        <w:gridCol w:w="784"/>
        <w:gridCol w:w="846"/>
        <w:gridCol w:w="784"/>
        <w:gridCol w:w="5320"/>
        <w:gridCol w:w="1279"/>
        <w:gridCol w:w="1197"/>
      </w:tblGrid>
      <w:tr>
        <w:trPr>
          <w:tblHeader w:val="0"/>
          <w:cantSplit w:val="0"/>
          <w:trHeight w:val="375" w:hRule="atLeast"/>
        </w:trPr>
        <w:tc>
          <w:tcPr>
            <w:tcW w:w="784" w:type="dxa"/>
            <w:vAlign w:val="bottom"/>
            <w:shd w:val="none"/>
            <w:tcMar>
              <w:top w:w="0" w:type="dxa"/>
              <w:left w:w="70" w:type="dxa"/>
              <w:bottom w:w="0" w:type="dxa"/>
              <w:right w:w="70" w:type="dxa"/>
            </w:tcMar>
            <w:tcBorders>
              <w:top w:val="nil" w:sz="0" w:space="0" w:color="000000" tmln="20, 20, 20, 0, 0"/>
              <w:left w:val="nil" w:sz="0" w:space="0" w:color="000000" tmln="20, 20, 20, 0, 0"/>
              <w:bottom w:val="nil" w:sz="0" w:space="0" w:color="000000" tmln="20, 20, 20, 0, 0"/>
              <w:right w:val="nil" w:sz="0" w:space="0" w:color="000000" tmln="20, 20, 20, 0, 0"/>
              <w:tl2br w:val="nil" w:sz="0" w:space="0" w:color="000000" tmln="20, 20, 20, 0, 0"/>
              <w:tr2bl w:val="nil" w:sz="0" w:space="0" w:color="000000" tmln="20, 20, 20, 0, 0"/>
            </w:tcBorders>
            <w:tmTcPr id="1566386002" protected="1"/>
          </w:tcPr>
          <w:p>
            <w:pPr>
              <w:spacing/>
              <w:jc w:val="center"/>
              <w:rPr>
                <w:color w:val="000000"/>
                <w:sz w:val="17"/>
                <w:szCs w:val="17"/>
              </w:rPr>
            </w:pPr>
            <w:r>
              <w:rPr>
                <w:color w:val="000000"/>
                <w:sz w:val="17"/>
                <w:szCs w:val="17"/>
              </w:rPr>
            </w:r>
          </w:p>
        </w:tc>
        <w:tc>
          <w:tcPr>
            <w:tcW w:w="846" w:type="dxa"/>
            <w:vAlign w:val="bottom"/>
            <w:shd w:val="none"/>
            <w:tcMar>
              <w:top w:w="0" w:type="dxa"/>
              <w:left w:w="70" w:type="dxa"/>
              <w:bottom w:w="0" w:type="dxa"/>
              <w:right w:w="70" w:type="dxa"/>
            </w:tcMar>
            <w:tcBorders>
              <w:top w:val="nil" w:sz="0" w:space="0" w:color="000000" tmln="20, 20, 20, 0, 0"/>
              <w:left w:val="nil" w:sz="0" w:space="0" w:color="000000" tmln="20, 20, 20, 0, 0"/>
              <w:bottom w:val="nil" w:sz="0" w:space="0" w:color="000000" tmln="20, 20, 20, 0, 0"/>
              <w:right w:val="nil" w:sz="0" w:space="0" w:color="000000" tmln="20, 20, 20, 0, 0"/>
              <w:tl2br w:val="nil" w:sz="0" w:space="0" w:color="000000" tmln="20, 20, 20, 0, 0"/>
              <w:tr2bl w:val="nil" w:sz="0" w:space="0" w:color="000000" tmln="20, 20, 20, 0, 0"/>
            </w:tcBorders>
            <w:tmTcPr id="1566386002" protected="1"/>
          </w:tcPr>
          <w:p>
            <w:pPr>
              <w:spacing/>
              <w:jc w:val="center"/>
              <w:rPr>
                <w:color w:val="000000"/>
                <w:sz w:val="17"/>
                <w:szCs w:val="17"/>
              </w:rPr>
            </w:pPr>
            <w:r>
              <w:rPr>
                <w:color w:val="000000"/>
                <w:sz w:val="17"/>
                <w:szCs w:val="17"/>
              </w:rPr>
            </w:r>
          </w:p>
        </w:tc>
        <w:tc>
          <w:tcPr>
            <w:tcW w:w="784" w:type="dxa"/>
            <w:vAlign w:val="bottom"/>
            <w:shd w:val="none"/>
            <w:tcMar>
              <w:top w:w="0" w:type="dxa"/>
              <w:left w:w="70" w:type="dxa"/>
              <w:bottom w:w="0" w:type="dxa"/>
              <w:right w:w="70" w:type="dxa"/>
            </w:tcMar>
            <w:tcBorders>
              <w:top w:val="nil" w:sz="0" w:space="0" w:color="000000" tmln="20, 20, 20, 0, 0"/>
              <w:left w:val="nil" w:sz="0" w:space="0" w:color="000000" tmln="20, 20, 20, 0, 0"/>
              <w:bottom w:val="nil" w:sz="0" w:space="0" w:color="000000" tmln="20, 20, 20, 0, 0"/>
              <w:right w:val="nil" w:sz="0" w:space="0" w:color="000000" tmln="20, 20, 20, 0, 0"/>
              <w:tl2br w:val="nil" w:sz="0" w:space="0" w:color="000000" tmln="20, 20, 20, 0, 0"/>
              <w:tr2bl w:val="nil" w:sz="0" w:space="0" w:color="000000" tmln="20, 20, 20, 0, 0"/>
            </w:tcBorders>
            <w:tmTcPr id="1566386002" protected="1"/>
          </w:tcPr>
          <w:p>
            <w:pPr>
              <w:spacing/>
              <w:jc w:val="center"/>
              <w:rPr>
                <w:color w:val="000000"/>
                <w:sz w:val="17"/>
                <w:szCs w:val="17"/>
              </w:rPr>
            </w:pPr>
            <w:r>
              <w:rPr>
                <w:color w:val="000000"/>
                <w:sz w:val="17"/>
                <w:szCs w:val="17"/>
              </w:rPr>
            </w:r>
          </w:p>
        </w:tc>
        <w:tc>
          <w:tcPr>
            <w:tcW w:w="5320" w:type="dxa"/>
            <w:vAlign w:val="bottom"/>
            <w:shd w:val="none"/>
            <w:tcMar>
              <w:top w:w="0" w:type="dxa"/>
              <w:left w:w="70" w:type="dxa"/>
              <w:bottom w:w="0" w:type="dxa"/>
              <w:right w:w="70" w:type="dxa"/>
            </w:tcMar>
            <w:tcBorders>
              <w:top w:val="nil" w:sz="0" w:space="0" w:color="000000" tmln="20, 20, 20, 0, 0"/>
              <w:left w:val="nil" w:sz="0" w:space="0" w:color="000000" tmln="20, 20, 20, 0, 0"/>
              <w:bottom w:val="nil" w:sz="0" w:space="0" w:color="000000" tmln="20, 20, 20, 0, 0"/>
              <w:right w:val="nil" w:sz="0" w:space="0" w:color="000000" tmln="20, 20, 20, 0, 0"/>
              <w:tl2br w:val="nil" w:sz="0" w:space="0" w:color="000000" tmln="20, 20, 20, 0, 0"/>
              <w:tr2bl w:val="nil" w:sz="0" w:space="0" w:color="000000" tmln="20, 20, 20, 0, 0"/>
            </w:tcBorders>
            <w:tmTcPr id="1566386002" protected="1"/>
          </w:tcPr>
          <w:p>
            <w:pPr>
              <w:rPr>
                <w:rFonts w:ascii="Calibri" w:hAnsi="Calibri" w:cs="Calibri"/>
                <w:b/>
                <w:bCs/>
                <w:color w:val="000000"/>
                <w:sz w:val="28"/>
                <w:szCs w:val="28"/>
              </w:rPr>
            </w:pPr>
            <w:r>
              <w:rPr>
                <w:rFonts w:ascii="Calibri" w:hAnsi="Calibri" w:cs="Calibri"/>
                <w:b/>
                <w:bCs/>
                <w:color w:val="000000"/>
                <w:sz w:val="28"/>
                <w:szCs w:val="28"/>
              </w:rPr>
              <w:t xml:space="preserve">   ANEXO DO TERMO DE REFERÊNCIA </w:t>
            </w:r>
          </w:p>
        </w:tc>
        <w:tc>
          <w:tcPr>
            <w:tcW w:w="1279" w:type="dxa"/>
            <w:vAlign w:val="bottom"/>
            <w:shd w:val="none"/>
            <w:tcMar>
              <w:top w:w="0" w:type="dxa"/>
              <w:left w:w="70" w:type="dxa"/>
              <w:bottom w:w="0" w:type="dxa"/>
              <w:right w:w="70" w:type="dxa"/>
            </w:tcMar>
            <w:tcBorders>
              <w:top w:val="nil" w:sz="0" w:space="0" w:color="000000" tmln="20, 20, 20, 0, 0"/>
              <w:left w:val="nil" w:sz="0" w:space="0" w:color="000000" tmln="20, 20, 20, 0, 0"/>
              <w:bottom w:val="nil" w:sz="0" w:space="0" w:color="000000" tmln="20, 20, 20, 0, 0"/>
              <w:right w:val="nil" w:sz="0" w:space="0" w:color="000000" tmln="20, 20, 20, 0, 0"/>
              <w:tl2br w:val="nil" w:sz="0" w:space="0" w:color="000000" tmln="20, 20, 20, 0, 0"/>
              <w:tr2bl w:val="nil" w:sz="0" w:space="0" w:color="000000" tmln="20, 20, 20, 0, 0"/>
            </w:tcBorders>
            <w:tmTcPr id="1566386002" protected="1"/>
          </w:tcPr>
          <w:p>
            <w:pPr>
              <w:spacing/>
              <w:jc w:val="center"/>
              <w:rPr>
                <w:color w:val="000000"/>
                <w:sz w:val="17"/>
                <w:szCs w:val="17"/>
              </w:rPr>
            </w:pPr>
            <w:r>
              <w:rPr>
                <w:color w:val="000000"/>
                <w:sz w:val="17"/>
                <w:szCs w:val="17"/>
              </w:rPr>
            </w:r>
          </w:p>
        </w:tc>
        <w:tc>
          <w:tcPr>
            <w:tcW w:w="1197" w:type="dxa"/>
            <w:vAlign w:val="bottom"/>
            <w:shd w:val="none"/>
            <w:tcMar>
              <w:top w:w="0" w:type="dxa"/>
              <w:left w:w="70" w:type="dxa"/>
              <w:bottom w:w="0" w:type="dxa"/>
              <w:right w:w="70" w:type="dxa"/>
            </w:tcMar>
            <w:tcBorders>
              <w:top w:val="nil" w:sz="0" w:space="0" w:color="000000" tmln="20, 20, 20, 0, 0"/>
              <w:left w:val="nil" w:sz="0" w:space="0" w:color="000000" tmln="20, 20, 20, 0, 0"/>
              <w:bottom w:val="nil" w:sz="0" w:space="0" w:color="000000" tmln="20, 20, 20, 0, 0"/>
              <w:right w:val="nil" w:sz="0" w:space="0" w:color="000000" tmln="20, 20, 20, 0, 0"/>
              <w:tl2br w:val="nil" w:sz="0" w:space="0" w:color="000000" tmln="20, 20, 20, 0, 0"/>
              <w:tr2bl w:val="nil" w:sz="0" w:space="0" w:color="000000" tmln="20, 20, 20, 0, 0"/>
            </w:tcBorders>
            <w:tmTcPr id="1566386002" protected="1"/>
          </w:tcPr>
          <w:p>
            <w:pPr>
              <w:rPr>
                <w:rFonts w:ascii="Calibri" w:hAnsi="Calibri" w:cs="Calibri"/>
                <w:color w:val="000000"/>
                <w:sz w:val="22"/>
                <w:szCs w:val="22"/>
              </w:rPr>
            </w:pPr>
            <w:r>
              <w:rPr>
                <w:rFonts w:ascii="Calibri" w:hAnsi="Calibri" w:cs="Calibri"/>
                <w:color w:val="000000"/>
                <w:sz w:val="22"/>
                <w:szCs w:val="22"/>
              </w:rPr>
            </w:r>
          </w:p>
        </w:tc>
      </w:tr>
    </w:tbl>
    <w:tbl>
      <w:tblPr>
        <w:tblpPr w:horzAnchor="margin" w:tblpXSpec="center" w:vertAnchor="text" w:tblpY="343" w:leftFromText="141" w:rightFromText="141" w:topFromText="0" w:bottomFromText="0"/>
        <w:tblOverlap w:val="never"/>
        <w:name w:val="Tabela3"/>
        <w:tabOrder w:val="0"/>
        <w:jc w:val="left"/>
        <w:tblInd w:w="0" w:type="dxa"/>
        <w:tblW w:w="10598" w:type="dxa"/>
      </w:tblPr>
      <w:tblGrid>
        <w:gridCol w:w="534"/>
        <w:gridCol w:w="708"/>
        <w:gridCol w:w="3261"/>
        <w:gridCol w:w="992"/>
        <w:gridCol w:w="850"/>
        <w:gridCol w:w="851"/>
        <w:gridCol w:w="850"/>
        <w:gridCol w:w="1134"/>
        <w:gridCol w:w="1418"/>
      </w:tblGrid>
      <w:tr>
        <w:trPr>
          <w:tblHeader w:val="0"/>
          <w:cantSplit w:val="0"/>
          <w:trHeight w:val="332" w:hRule="atLeast"/>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sz w:val="20"/>
                <w:szCs w:val="20"/>
              </w:rPr>
            </w:pPr>
            <w:r>
              <w:rPr>
                <w:b/>
                <w:sz w:val="20"/>
                <w:szCs w:val="20"/>
              </w:rPr>
            </w:r>
          </w:p>
          <w:p>
            <w:pPr>
              <w:spacing/>
              <w:jc w:val="center"/>
              <w:rPr>
                <w:b/>
                <w:sz w:val="20"/>
                <w:szCs w:val="20"/>
              </w:rPr>
            </w:pPr>
            <w:r>
              <w:rPr>
                <w:b/>
                <w:sz w:val="20"/>
                <w:szCs w:val="20"/>
              </w:rPr>
              <w:t>Nº</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sz w:val="20"/>
                <w:szCs w:val="20"/>
              </w:rPr>
            </w:pPr>
            <w:r>
              <w:rPr>
                <w:b/>
                <w:sz w:val="20"/>
                <w:szCs w:val="20"/>
              </w:rPr>
            </w:r>
          </w:p>
          <w:p>
            <w:pPr>
              <w:spacing/>
              <w:jc w:val="center"/>
              <w:rPr>
                <w:b/>
                <w:sz w:val="20"/>
                <w:szCs w:val="20"/>
              </w:rPr>
            </w:pPr>
            <w:r>
              <w:rPr>
                <w:b/>
                <w:sz w:val="20"/>
                <w:szCs w:val="20"/>
              </w:rPr>
              <w:t>Cód.</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sz w:val="20"/>
                <w:szCs w:val="20"/>
              </w:rPr>
            </w:pPr>
            <w:r>
              <w:rPr>
                <w:b/>
                <w:sz w:val="20"/>
                <w:szCs w:val="20"/>
              </w:rPr>
            </w:r>
          </w:p>
          <w:p>
            <w:pPr>
              <w:spacing/>
              <w:jc w:val="center"/>
              <w:rPr>
                <w:b/>
                <w:sz w:val="20"/>
                <w:szCs w:val="20"/>
              </w:rPr>
            </w:pPr>
            <w:r>
              <w:rPr>
                <w:b/>
                <w:sz w:val="20"/>
                <w:szCs w:val="20"/>
              </w:rPr>
              <w:t>Descrição das Mercadorias</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sz w:val="20"/>
                <w:szCs w:val="20"/>
              </w:rPr>
            </w:pPr>
            <w:r>
              <w:rPr>
                <w:b/>
                <w:sz w:val="20"/>
                <w:szCs w:val="20"/>
              </w:rPr>
            </w:r>
          </w:p>
          <w:p>
            <w:pPr>
              <w:spacing/>
              <w:jc w:val="center"/>
              <w:rPr>
                <w:b/>
                <w:sz w:val="20"/>
                <w:szCs w:val="20"/>
              </w:rPr>
            </w:pPr>
            <w:r>
              <w:rPr>
                <w:b/>
                <w:sz w:val="20"/>
                <w:szCs w:val="20"/>
              </w:rPr>
              <w:t>Qtde</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sz w:val="20"/>
                <w:szCs w:val="20"/>
              </w:rPr>
            </w:pPr>
            <w:r>
              <w:rPr>
                <w:b/>
                <w:sz w:val="20"/>
                <w:szCs w:val="20"/>
              </w:rPr>
            </w:r>
          </w:p>
          <w:p>
            <w:pPr>
              <w:spacing/>
              <w:jc w:val="center"/>
              <w:rPr>
                <w:b/>
                <w:sz w:val="20"/>
                <w:szCs w:val="20"/>
              </w:rPr>
            </w:pPr>
            <w:r>
              <w:rPr>
                <w:b/>
                <w:sz w:val="20"/>
                <w:szCs w:val="20"/>
              </w:rPr>
              <w:t>Unid</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sz w:val="20"/>
                <w:szCs w:val="20"/>
              </w:rPr>
            </w:pPr>
            <w:r>
              <w:rPr>
                <w:b/>
                <w:sz w:val="20"/>
                <w:szCs w:val="20"/>
              </w:rPr>
            </w:r>
          </w:p>
          <w:p>
            <w:pPr>
              <w:spacing/>
              <w:jc w:val="center"/>
              <w:rPr>
                <w:b/>
                <w:sz w:val="20"/>
                <w:szCs w:val="20"/>
              </w:rPr>
            </w:pPr>
            <w:r>
              <w:rPr>
                <w:b/>
                <w:sz w:val="20"/>
                <w:szCs w:val="20"/>
              </w:rPr>
              <w:t xml:space="preserve"> Semec</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sz w:val="20"/>
                <w:szCs w:val="20"/>
              </w:rPr>
            </w:pPr>
            <w:r>
              <w:rPr>
                <w:b/>
                <w:sz w:val="20"/>
                <w:szCs w:val="20"/>
              </w:rPr>
            </w:r>
          </w:p>
          <w:p>
            <w:pPr>
              <w:spacing/>
              <w:jc w:val="center"/>
              <w:rPr>
                <w:b/>
                <w:sz w:val="20"/>
                <w:szCs w:val="20"/>
              </w:rPr>
            </w:pPr>
            <w:r>
              <w:rPr>
                <w:b/>
                <w:sz w:val="20"/>
                <w:szCs w:val="20"/>
              </w:rPr>
              <w:t>Vovó Zezé</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sz w:val="20"/>
                <w:szCs w:val="20"/>
              </w:rPr>
            </w:pPr>
            <w:r>
              <w:rPr>
                <w:b/>
                <w:sz w:val="20"/>
                <w:szCs w:val="20"/>
              </w:rPr>
              <w:t>Criativo</w:t>
            </w:r>
          </w:p>
          <w:p>
            <w:pPr>
              <w:rPr>
                <w:sz w:val="20"/>
                <w:szCs w:val="20"/>
              </w:rPr>
            </w:pPr>
            <w:r>
              <w:rPr>
                <w:sz w:val="20"/>
                <w:szCs w:val="20"/>
              </w:rPr>
              <w:t>Pré escolas</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sz w:val="20"/>
                <w:szCs w:val="20"/>
              </w:rPr>
            </w:pPr>
            <w:r>
              <w:rPr>
                <w:b/>
                <w:sz w:val="20"/>
                <w:szCs w:val="20"/>
              </w:rPr>
              <w:t>Ensino</w:t>
            </w:r>
          </w:p>
          <w:p>
            <w:pPr>
              <w:spacing/>
              <w:jc w:val="center"/>
              <w:rPr>
                <w:b/>
                <w:sz w:val="20"/>
                <w:szCs w:val="20"/>
              </w:rPr>
            </w:pPr>
            <w:r>
              <w:rPr>
                <w:b/>
                <w:sz w:val="20"/>
                <w:szCs w:val="20"/>
              </w:rPr>
              <w:t>Fundamental</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r>
          </w:p>
          <w:p>
            <w:pPr>
              <w:spacing/>
              <w:jc w:val="center"/>
              <w:rPr>
                <w:sz w:val="20"/>
                <w:szCs w:val="20"/>
              </w:rPr>
            </w:pPr>
            <w:r>
              <w:rPr>
                <w:sz w:val="20"/>
                <w:szCs w:val="20"/>
              </w:rPr>
              <w:t>01</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r>
          </w:p>
          <w:p>
            <w:pPr>
              <w:spacing/>
              <w:jc w:val="center"/>
              <w:rPr>
                <w:b/>
                <w:color w:val="000000"/>
                <w:sz w:val="20"/>
                <w:szCs w:val="20"/>
              </w:rPr>
            </w:pPr>
            <w:r>
              <w:rPr>
                <w:b/>
                <w:color w:val="000000"/>
                <w:sz w:val="20"/>
                <w:szCs w:val="20"/>
              </w:rPr>
              <w:t>3875</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 xml:space="preserve">ÁGUA SANITARIA </w:t>
            </w:r>
          </w:p>
          <w:p>
            <w:pPr>
              <w:spacing/>
              <w:jc w:val="both"/>
              <w:rPr>
                <w:color w:val="000000"/>
                <w:sz w:val="20"/>
                <w:szCs w:val="20"/>
              </w:rPr>
            </w:pPr>
            <w:r>
              <w:rPr>
                <w:color w:val="000000"/>
                <w:sz w:val="20"/>
                <w:szCs w:val="20"/>
              </w:rPr>
              <w:t>composição mínima: hipoclorito de sódio e água. princípio ativo: hipoclorito de sódio. teor de cloro ativo: 2,0% a 2,5%p/p, embalagem de 1litro, cx. contendo  12 unidades.</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r>
          </w:p>
          <w:p>
            <w:pPr>
              <w:spacing/>
              <w:jc w:val="center"/>
              <w:rPr>
                <w:sz w:val="20"/>
                <w:szCs w:val="20"/>
              </w:rPr>
            </w:pPr>
            <w:r>
              <w:rPr>
                <w:sz w:val="20"/>
                <w:szCs w:val="20"/>
              </w:rPr>
              <w:t>100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r>
          </w:p>
          <w:p>
            <w:pPr>
              <w:spacing/>
              <w:jc w:val="center"/>
              <w:rPr>
                <w:sz w:val="20"/>
                <w:szCs w:val="20"/>
              </w:rPr>
            </w:pPr>
            <w:r>
              <w:rPr>
                <w:sz w:val="20"/>
                <w:szCs w:val="20"/>
              </w:rPr>
              <w:t>Cx</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r>
          </w:p>
          <w:p>
            <w:pPr>
              <w:rPr>
                <w:sz w:val="20"/>
                <w:szCs w:val="20"/>
              </w:rPr>
            </w:pPr>
            <w:r>
              <w:rPr>
                <w:sz w:val="20"/>
                <w:szCs w:val="20"/>
              </w:rPr>
              <w:t>05</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r>
          </w:p>
          <w:p>
            <w:pPr>
              <w:rPr>
                <w:sz w:val="20"/>
                <w:szCs w:val="20"/>
              </w:rPr>
            </w:pPr>
            <w:r>
              <w:rPr>
                <w:sz w:val="20"/>
                <w:szCs w:val="20"/>
              </w:rPr>
              <w:t>15</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r>
          </w:p>
          <w:p>
            <w:pPr>
              <w:rPr>
                <w:sz w:val="20"/>
                <w:szCs w:val="20"/>
              </w:rPr>
            </w:pPr>
            <w:r>
              <w:rPr>
                <w:sz w:val="20"/>
                <w:szCs w:val="20"/>
              </w:rPr>
              <w:t>40</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r>
          </w:p>
          <w:p>
            <w:pPr>
              <w:rPr>
                <w:sz w:val="20"/>
                <w:szCs w:val="20"/>
              </w:rPr>
            </w:pPr>
            <w:r>
              <w:rPr>
                <w:sz w:val="20"/>
                <w:szCs w:val="20"/>
              </w:rPr>
              <w:t>40</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02</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3484</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AMACIANTE DE ROUPAS 2 LITROS CX C/ 8 Unid.</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45</w:t>
            </w:r>
          </w:p>
          <w:p>
            <w:pPr>
              <w:rPr>
                <w:sz w:val="20"/>
                <w:szCs w:val="20"/>
              </w:rPr>
            </w:pPr>
            <w:r>
              <w:rPr>
                <w:sz w:val="20"/>
                <w:szCs w:val="20"/>
              </w:rPr>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CX</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r>
          </w:p>
          <w:p>
            <w:pPr>
              <w:rPr>
                <w:sz w:val="20"/>
                <w:szCs w:val="20"/>
              </w:rPr>
            </w:pPr>
            <w:r>
              <w:rPr>
                <w:sz w:val="20"/>
                <w:szCs w:val="20"/>
              </w:rPr>
              <w:t>05</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r>
          </w:p>
          <w:p>
            <w:pPr>
              <w:rPr>
                <w:sz w:val="20"/>
                <w:szCs w:val="20"/>
              </w:rPr>
            </w:pPr>
            <w:r>
              <w:rPr>
                <w:sz w:val="20"/>
                <w:szCs w:val="20"/>
              </w:rPr>
              <w:t>20</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r>
          </w:p>
          <w:p>
            <w:pPr>
              <w:rPr>
                <w:sz w:val="20"/>
                <w:szCs w:val="20"/>
              </w:rPr>
            </w:pPr>
            <w:r>
              <w:rPr>
                <w:sz w:val="20"/>
                <w:szCs w:val="20"/>
              </w:rPr>
              <w:t>10</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r>
          </w:p>
          <w:p>
            <w:pPr>
              <w:spacing/>
              <w:jc w:val="center"/>
              <w:rPr>
                <w:sz w:val="20"/>
                <w:szCs w:val="20"/>
              </w:rPr>
            </w:pPr>
            <w:r>
              <w:rPr>
                <w:sz w:val="20"/>
                <w:szCs w:val="20"/>
              </w:rPr>
              <w:t>10</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 xml:space="preserve"> 03</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pStyle w:val="para4"/>
              <w:spacing/>
              <w:jc w:val="center"/>
              <w:tabs defTabSz="708">
                <w:tab w:val="left" w:pos="1245" w:leader="none"/>
              </w:tab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1677721856, 0, 16777215"/>
              <w:rPr>
                <w:b/>
                <w:sz w:val="20"/>
                <w:szCs w:val="20"/>
              </w:rPr>
            </w:pPr>
            <w:r>
              <w:rPr>
                <w:b/>
                <w:sz w:val="20"/>
                <w:szCs w:val="20"/>
              </w:rPr>
              <w:t>4107</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sz w:val="20"/>
                <w:szCs w:val="20"/>
              </w:rPr>
            </w:pPr>
            <w:r>
              <w:rPr>
                <w:sz w:val="20"/>
                <w:szCs w:val="20"/>
              </w:rPr>
              <w:t>ALCOOL 1000 ML etílico hidratado 92,8º inpm -cx com 12 unidades.</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100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Cx</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20</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30</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40</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04</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pStyle w:val="para4"/>
              <w:spacing/>
              <w:jc w:val="center"/>
              <w:tabs defTabSz="708">
                <w:tab w:val="left" w:pos="1245" w:leader="none"/>
              </w:tab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1677721856, 0, 16777215"/>
              <w:rPr>
                <w:b/>
                <w:sz w:val="20"/>
                <w:szCs w:val="20"/>
              </w:rPr>
            </w:pPr>
            <w:r>
              <w:rPr>
                <w:b/>
                <w:sz w:val="20"/>
                <w:szCs w:val="20"/>
              </w:rPr>
              <w:t>6648</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sz w:val="20"/>
                <w:szCs w:val="20"/>
              </w:rPr>
            </w:pPr>
            <w:r>
              <w:rPr>
                <w:sz w:val="20"/>
                <w:szCs w:val="20"/>
              </w:rPr>
              <w:t>AVENTAIS CONFECCIONADOS EM TECIDO DE BRIM</w:t>
            </w:r>
          </w:p>
          <w:p>
            <w:pPr>
              <w:spacing/>
              <w:jc w:val="both"/>
              <w:rPr>
                <w:sz w:val="20"/>
                <w:szCs w:val="20"/>
              </w:rPr>
            </w:pPr>
            <w:r>
              <w:rPr>
                <w:sz w:val="20"/>
                <w:szCs w:val="20"/>
              </w:rPr>
              <w:t>na cor branca, com bolso frontal, tamanho único.</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47</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Unid</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05</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12</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05</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pStyle w:val="para4"/>
              <w:spacing/>
              <w:jc w:val="center"/>
              <w:tabs defTabSz="708">
                <w:tab w:val="left" w:pos="1245" w:leader="none"/>
              </w:tab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1677721856, 0, 16777215"/>
              <w:rPr>
                <w:b/>
                <w:sz w:val="20"/>
                <w:szCs w:val="20"/>
              </w:rPr>
            </w:pPr>
            <w:r>
              <w:rPr>
                <w:b/>
                <w:sz w:val="20"/>
                <w:szCs w:val="20"/>
              </w:rPr>
              <w:t>2710</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sz w:val="20"/>
                <w:szCs w:val="20"/>
              </w:rPr>
            </w:pPr>
            <w:r>
              <w:rPr>
                <w:color w:val="000000"/>
                <w:sz w:val="20"/>
                <w:szCs w:val="20"/>
              </w:rPr>
              <w:t>AÇÚCAR  CRISTAL</w:t>
            </w:r>
            <w:r>
              <w:rPr>
                <w:sz w:val="20"/>
                <w:szCs w:val="20"/>
              </w:rPr>
              <w:t xml:space="preserve"> embalagem: pacote de 5 kg(cinco quilos), em plástico transparente atóxico.características gerais: de safra corrente e procedência nacional. isento de sujidades, larvas e parasitas, além de elementos histológicos e amidos estranhos. não deve conter também corantes, aromatizantes, conservantes ou qualquer outra substância que evite ressecamento.prazo de validade: mínimo de 1  (um) ano, contados a partir da data de entrega.</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100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Kg</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r>
          </w:p>
          <w:p>
            <w:pPr>
              <w:rPr>
                <w:sz w:val="20"/>
                <w:szCs w:val="20"/>
              </w:rPr>
            </w:pPr>
            <w:r>
              <w:rPr>
                <w:sz w:val="20"/>
                <w:szCs w:val="20"/>
              </w:rPr>
            </w:r>
          </w:p>
          <w:p>
            <w:pPr>
              <w:rPr>
                <w:sz w:val="20"/>
                <w:szCs w:val="20"/>
              </w:rPr>
            </w:pPr>
            <w:r>
              <w:rPr>
                <w:sz w:val="20"/>
                <w:szCs w:val="20"/>
              </w:rPr>
              <w:t>100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r>
          </w:p>
          <w:p>
            <w:pPr>
              <w:rPr>
                <w:sz w:val="20"/>
                <w:szCs w:val="20"/>
              </w:rPr>
            </w:pPr>
            <w:r>
              <w:rPr>
                <w:sz w:val="20"/>
                <w:szCs w:val="20"/>
              </w:rPr>
            </w:r>
          </w:p>
          <w:p>
            <w:pPr>
              <w:rPr>
                <w:sz w:val="20"/>
                <w:szCs w:val="20"/>
              </w:rPr>
            </w:pPr>
            <w:r>
              <w:rPr>
                <w:sz w:val="20"/>
                <w:szCs w:val="20"/>
              </w:rPr>
              <w:t>-</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r>
          </w:p>
          <w:p>
            <w:pPr>
              <w:rPr>
                <w:sz w:val="20"/>
                <w:szCs w:val="20"/>
              </w:rPr>
            </w:pPr>
            <w:r>
              <w:rPr>
                <w:sz w:val="20"/>
                <w:szCs w:val="20"/>
              </w:rPr>
            </w:r>
          </w:p>
          <w:p>
            <w:pPr>
              <w:rPr>
                <w:sz w:val="20"/>
                <w:szCs w:val="20"/>
              </w:rPr>
            </w:pPr>
            <w:r>
              <w:rPr>
                <w:sz w:val="20"/>
                <w:szCs w:val="20"/>
              </w:rPr>
              <w:t>-</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r>
          </w:p>
          <w:p>
            <w:pPr>
              <w:rPr>
                <w:sz w:val="20"/>
                <w:szCs w:val="20"/>
              </w:rPr>
            </w:pPr>
            <w:r>
              <w:rPr>
                <w:sz w:val="20"/>
                <w:szCs w:val="20"/>
              </w:rPr>
            </w:r>
          </w:p>
          <w:p>
            <w:pPr>
              <w:tabs defTabSz="708">
                <w:tab w:val="left" w:pos="240" w:leader="none"/>
                <w:tab w:val="center" w:pos="601" w:leader="none"/>
              </w:tabs>
              <w:rPr>
                <w:sz w:val="20"/>
                <w:szCs w:val="20"/>
              </w:rPr>
            </w:pPr>
            <w:r>
              <w:rPr>
                <w:sz w:val="20"/>
                <w:szCs w:val="20"/>
              </w:rPr>
              <w:tab/>
              <w:t>-</w:t>
              <w:tab/>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06</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4559</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BUCHA para Banho</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80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Unid</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60</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10</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10</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07</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7200</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CONDICIONADOR -Natural Kids  - 350 ml</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120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Unid</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80</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20</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20</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08</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3452</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CLORO. composição mínima: hipoclorito de sódio,cloreto de sódio, hidróxido de sódio e água, concentração mínima de 4 a 6% (cloro ativo). embalagem de 2 litros caixa contendo 6 unidades.</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130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Cx</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30</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40</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50</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09</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2630</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CORDA PARA VARAL-NYLON COM 10 MTS</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60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rPr>
                <w:sz w:val="20"/>
                <w:szCs w:val="20"/>
              </w:rPr>
            </w:pPr>
            <w:r>
              <w:rPr>
                <w:sz w:val="20"/>
                <w:szCs w:val="20"/>
              </w:rPr>
              <w:t>Unid</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05</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20</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20</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10</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2635</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CREME DENTAL 90 grs</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200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rPr>
                <w:sz w:val="20"/>
                <w:szCs w:val="20"/>
              </w:rPr>
            </w:pPr>
            <w:r>
              <w:rPr>
                <w:sz w:val="20"/>
                <w:szCs w:val="20"/>
              </w:rPr>
              <w:t>Unid</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30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50</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60</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60</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11</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6645</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 xml:space="preserve">CREME  PARA  MASSAGENS    CABELOS    SECOS </w:t>
            </w:r>
            <w:r>
              <w:t xml:space="preserve"> </w:t>
            </w:r>
            <w:r>
              <w:rPr>
                <w:color w:val="000000"/>
                <w:sz w:val="20"/>
                <w:szCs w:val="20"/>
              </w:rPr>
              <w:t xml:space="preserve">RESSECADOS 400 GR  </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70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rPr>
                <w:sz w:val="20"/>
                <w:szCs w:val="20"/>
              </w:rPr>
            </w:pPr>
            <w:r>
              <w:rPr>
                <w:sz w:val="20"/>
                <w:szCs w:val="20"/>
              </w:rPr>
              <w:t>Unid</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50</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10</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10</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12</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5048</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 xml:space="preserve">CREME   PARA  PENTEAR    CABELOS    SECOS  </w:t>
            </w:r>
          </w:p>
          <w:p>
            <w:pPr>
              <w:spacing/>
              <w:jc w:val="both"/>
              <w:rPr>
                <w:color w:val="000000"/>
                <w:sz w:val="20"/>
                <w:szCs w:val="20"/>
              </w:rPr>
            </w:pPr>
            <w:r>
              <w:rPr>
                <w:color w:val="000000"/>
                <w:sz w:val="20"/>
                <w:szCs w:val="20"/>
              </w:rPr>
              <w:t>RESSECADOS 300 GR</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80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rPr>
                <w:sz w:val="20"/>
                <w:szCs w:val="20"/>
              </w:rPr>
            </w:pPr>
            <w:r>
              <w:rPr>
                <w:sz w:val="20"/>
                <w:szCs w:val="20"/>
              </w:rPr>
              <w:t>Unid</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50</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10</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10</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13</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273</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DESINFETANTE. com as seguintes características mínimas:  desinfeta, limpa, perfuma – elimina germes e bactérias - composição: tensoativo catiônico, tensoativo não iônico, conservante, sequestrante, corantes, fragrância e veículo - componente ativo: 0,50% de cloreto de dalquil  dimetil amônio, cloreto de alquil  dimetil benzil amônio. fragrâncias: à escolher - embalagem de 1.000 ml - caixa contendo 12 unidades</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130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Cx</w:t>
            </w:r>
          </w:p>
          <w:p>
            <w:pPr>
              <w:spacing/>
              <w:jc w:val="center"/>
              <w:rPr>
                <w:sz w:val="20"/>
                <w:szCs w:val="20"/>
              </w:rPr>
            </w:pPr>
            <w:r>
              <w:rPr>
                <w:sz w:val="20"/>
                <w:szCs w:val="20"/>
              </w:rPr>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40</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30</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45</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14</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5087</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DESODORISADOR AMBIENTE aspecto; aerosol; fragância: floral/ lavanda, acondicionado:frasco 400 ml; unidade de forneciemtno: unidade.</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90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Unid</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25</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25</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30</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261</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DETERGENTE. com as seguintes características mínimas:  embalagem de 500 ml - cx com 24 unid de 500ml com a seguinte composição:tensoativos aniônicos, glicerina, coadjuvante, preservante, sequestrante, espessantes, corantes e veículo. componente ativo: linear alquibenzeno sulfonato de sódio. contémtensoativo biodegradável. (fragâncias: neutro, limão, maçã, cristal etc...)</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85</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Cx</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20</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25</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30</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16</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6707</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ESCOVA SANITÁRIA com suporte. Composição mínima: material sintético, pigmento e metal</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100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Unid</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25</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30</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30</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17</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3455</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ESCOVA DE MÃO PARA LAVAR ROUPAS com base plástica. composição mínima: material sintético, metal e pigmento.</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70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Unid</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20</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20</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18</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3877</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ESPONJA DE LÃ DE AÇO fardo com 14 sacolas de 60g contendo 08 esponjas cada sacola.</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rPr>
                <w:sz w:val="20"/>
                <w:szCs w:val="20"/>
              </w:rPr>
            </w:pPr>
            <w:r>
              <w:rPr>
                <w:sz w:val="20"/>
                <w:szCs w:val="20"/>
              </w:rPr>
              <w:t xml:space="preserve">     53</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Fardo</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08</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19</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3439</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ESPONJA PARA LAVAR LOUÇA confeccionada em espuma de poliuretano com bactericida e fibra sintética com abrasivo. embalagem contendo 1unidades.</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750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Unid</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100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150</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250</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250</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20</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6227</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ESSÊNCIA AROMA LAVANDA  100 ml</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170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VD</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50</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50</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50</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21</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274</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FLANELAS macias para limpeza em gerais - 29x49cm.</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260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Unid</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50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70</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70</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70</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22</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3459</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 xml:space="preserve">FÓSFORO. com a seguinte composição: fósforo,cloreto potássio e aglutinantes. maço com 10caixinhas - 400 palitos </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Maços</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30</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50</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50</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23</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6751</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b/>
                <w:color w:val="000000"/>
                <w:sz w:val="20"/>
                <w:szCs w:val="20"/>
              </w:rPr>
              <w:t>FRALDAS</w:t>
            </w:r>
            <w:r>
              <w:rPr>
                <w:b/>
                <w:sz w:val="20"/>
                <w:szCs w:val="20"/>
              </w:rPr>
              <w:t xml:space="preserve"> DESCARTÁVEIS INFANTIL</w:t>
            </w:r>
            <w:r>
              <w:rPr>
                <w:sz w:val="20"/>
                <w:szCs w:val="20"/>
              </w:rPr>
              <w:t xml:space="preserve"> pacote contendo 50 unidades tamanho </w:t>
            </w:r>
            <w:r>
              <w:rPr>
                <w:b/>
                <w:sz w:val="20"/>
                <w:szCs w:val="20"/>
              </w:rPr>
              <w:t>M</w:t>
            </w:r>
            <w:r>
              <w:rPr>
                <w:sz w:val="20"/>
                <w:szCs w:val="20"/>
              </w:rPr>
              <w:t xml:space="preserve"> com a seguinte composição, Polpa celulose, polímero super absorvente, filme polietileno, não tecido de polipropileno, adesivos e elastano.</w:t>
            </w:r>
            <w:r>
              <w:rPr>
                <w:color w:val="000000"/>
                <w:sz w:val="20"/>
                <w:szCs w:val="20"/>
              </w:rPr>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80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PCT</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80</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24</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6752</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b/>
                <w:color w:val="000000"/>
                <w:sz w:val="20"/>
                <w:szCs w:val="20"/>
              </w:rPr>
              <w:t>FRALDAS</w:t>
            </w:r>
            <w:r>
              <w:rPr>
                <w:b/>
                <w:sz w:val="20"/>
                <w:szCs w:val="20"/>
              </w:rPr>
              <w:t xml:space="preserve"> DESCARTÁVEIS INFANTIL</w:t>
            </w:r>
            <w:r>
              <w:rPr>
                <w:sz w:val="20"/>
                <w:szCs w:val="20"/>
              </w:rPr>
              <w:t xml:space="preserve"> pacote contendo 46 unidades tamanho </w:t>
            </w:r>
            <w:r>
              <w:rPr>
                <w:b/>
                <w:sz w:val="20"/>
                <w:szCs w:val="20"/>
              </w:rPr>
              <w:t xml:space="preserve">G </w:t>
            </w:r>
            <w:r>
              <w:rPr>
                <w:sz w:val="20"/>
                <w:szCs w:val="20"/>
              </w:rPr>
              <w:t>com a seguinte composição, Polpa celulose, polímero super absorvente, filme polietileno, não tecido de polipropileno, adesivos e elastano.</w:t>
            </w:r>
            <w:r>
              <w:rPr>
                <w:color w:val="000000"/>
                <w:sz w:val="20"/>
                <w:szCs w:val="20"/>
              </w:rPr>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PCT</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150</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25</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6754</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b/>
                <w:color w:val="000000"/>
                <w:sz w:val="20"/>
                <w:szCs w:val="20"/>
              </w:rPr>
              <w:t>FRALDAS</w:t>
            </w:r>
            <w:r>
              <w:rPr>
                <w:b/>
                <w:sz w:val="20"/>
                <w:szCs w:val="20"/>
              </w:rPr>
              <w:t xml:space="preserve"> DESCARTÁVEIS INFANTIL</w:t>
            </w:r>
            <w:r>
              <w:rPr>
                <w:sz w:val="20"/>
                <w:szCs w:val="20"/>
              </w:rPr>
              <w:t xml:space="preserve"> pacote contendo 40 unidades tamanho </w:t>
            </w:r>
            <w:r>
              <w:rPr>
                <w:b/>
                <w:sz w:val="20"/>
                <w:szCs w:val="20"/>
              </w:rPr>
              <w:t xml:space="preserve">XG </w:t>
            </w:r>
            <w:r>
              <w:rPr>
                <w:sz w:val="20"/>
                <w:szCs w:val="20"/>
              </w:rPr>
              <w:t>com a seguinte composição, Polpa celulose, polímero super absorvente, filme polietileno, não tecido de polipropileno, adesivos e elastano.</w:t>
            </w:r>
            <w:r>
              <w:rPr>
                <w:color w:val="000000"/>
                <w:sz w:val="20"/>
                <w:szCs w:val="20"/>
              </w:rPr>
            </w:r>
          </w:p>
          <w:p>
            <w:pPr>
              <w:spacing/>
              <w:jc w:val="both"/>
              <w:rPr>
                <w:color w:val="000000"/>
                <w:sz w:val="20"/>
                <w:szCs w:val="20"/>
              </w:rPr>
            </w:pPr>
            <w:r>
              <w:rPr>
                <w:color w:val="000000"/>
                <w:sz w:val="20"/>
                <w:szCs w:val="20"/>
              </w:rPr>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PCT</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150</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26</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7897</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LAVA ROUPA EM PÓ - CAIXA COM 20 KG</w:t>
            </w:r>
          </w:p>
          <w:p>
            <w:pPr>
              <w:spacing/>
              <w:jc w:val="both"/>
              <w:rPr>
                <w:color w:val="000000"/>
                <w:sz w:val="20"/>
                <w:szCs w:val="20"/>
              </w:rPr>
            </w:pPr>
            <w:r>
              <w:rPr>
                <w:color w:val="000000"/>
                <w:sz w:val="20"/>
                <w:szCs w:val="20"/>
              </w:rPr>
              <w:t>composição: tensoativo aniônico, transponantes, coadjuvante, sinergista, corantes, branqueador optico, fragrância, carga e água. contém: alquilbenzeno, sulfonato de sódio.caixa com 20 unidades de 01 kg.</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100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Cx</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25</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25</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40</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27</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4109</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LIMPADOR DESENGORDURANTE. indicado para limpeza de cozinhas banheiros, pias, azulejos, plásticos e esmaltados, fogões e superfícies laváveis, remove gordura, fuligem, poeira marcas de dedos e saltos, riscos de lápis. composição: alquil benzeno sulfonato de sódio, álcool etoxilado, coadjuvantes, sequestrante, essência e água. caixa com  24 unidades - 500 ml cada.</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80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Cx</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05</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25</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35</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28</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263</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PANO DE CHÃO. 100% algodão; cor branca;tipo: alvejado, aplicação:limpeza, acabamento: arremate  nas bordas e trama não desfiável; tamanho:45 cm x 85 cm.</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600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Unid</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50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150</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200</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200</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29</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1476</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PANO DE PRATO EM TECIDO 100% algodão, branco, tamanho aproximado de 30cm x 40cm (boa qualidade).</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485</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Unid</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35</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100</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150</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200</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30</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271</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PAPEL HIGIÊNICO macio rolos de 60mts, pacotes com 04 rolos, fardo com 16 pacotes.</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200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Fds</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rPr>
                <w:sz w:val="20"/>
                <w:szCs w:val="20"/>
              </w:rPr>
            </w:pPr>
            <w:r>
              <w:rPr>
                <w:sz w:val="20"/>
                <w:szCs w:val="20"/>
              </w:rPr>
              <w:t xml:space="preserve">    40</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rPr>
                <w:sz w:val="20"/>
                <w:szCs w:val="20"/>
              </w:rPr>
            </w:pPr>
            <w:r>
              <w:rPr>
                <w:sz w:val="20"/>
                <w:szCs w:val="20"/>
              </w:rPr>
              <w:t xml:space="preserve">       40</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100</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31</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3443</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PEDRA SANITÁRIA 40 G aroma: a escolher.</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700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Unid</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50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150</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200</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300</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32</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669</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PÁ DE LIXO EM METAL com cabo de madeira 60cm.</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65</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Unid</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03</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12</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20</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30</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33</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6646</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PENTE DE PLÁSTICOS - C/ DENTES ABERTOS PARA CABELO</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50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Unid</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30</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10</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10</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34</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379</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PÓ DE CAFÉ TORRADO E MOÍDO embalagem: pacote de 500 (quinhentos) gramas. desenvolvido a partir de grãos criteriosamente selecionados.  características gerais: ponto de torra: médio escuro, moagem: fina, sabor diferenciado e aroma intenso. embalagem aluminizada, selo de pureza emitido pela associação brasileira da indústria do café - abic, segundo os padrões da resolução nº 259 de 20/09/2002 do ms. prazo de validade: mínimo de 6 meses, contados a partir da data de entrega.</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100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Kg</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100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35</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5080</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PREGADOR DE ROUPA DE PLÁSTICO Pct- com 12 unidades</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70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Pct</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20</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20</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20</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36</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6708</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RODO DE PLÁSTICO 40 CM com borracha dupla e</w:t>
            </w:r>
          </w:p>
          <w:p>
            <w:pPr>
              <w:spacing/>
              <w:jc w:val="both"/>
              <w:rPr>
                <w:color w:val="000000"/>
                <w:sz w:val="20"/>
                <w:szCs w:val="20"/>
              </w:rPr>
            </w:pPr>
            <w:r>
              <w:rPr>
                <w:color w:val="000000"/>
                <w:sz w:val="20"/>
                <w:szCs w:val="20"/>
              </w:rPr>
              <w:t xml:space="preserve">cabo de madeira. </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120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Unid</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40</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30</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40</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37</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6709</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RODO DE PLÁSTICO 60 CM com borracha dupla e</w:t>
            </w:r>
          </w:p>
          <w:p>
            <w:pPr>
              <w:spacing/>
              <w:jc w:val="both"/>
              <w:rPr>
                <w:color w:val="000000"/>
                <w:sz w:val="20"/>
                <w:szCs w:val="20"/>
              </w:rPr>
            </w:pPr>
            <w:r>
              <w:rPr>
                <w:color w:val="000000"/>
                <w:sz w:val="20"/>
                <w:szCs w:val="20"/>
              </w:rPr>
              <w:t>cabo de madeira.</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120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Unid</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40</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30</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40</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38</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5041</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ROLO DE PAPEL ALUMÍNIO GRANDE 45 CM X 75 CM</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140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Unid</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25</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40</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35</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40</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39</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2022</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SABONETE SUAVE EM EMBALAGENS DE 90G</w:t>
            </w:r>
          </w:p>
          <w:p>
            <w:pPr>
              <w:spacing/>
              <w:jc w:val="both"/>
              <w:rPr>
                <w:color w:val="000000"/>
                <w:sz w:val="20"/>
                <w:szCs w:val="20"/>
              </w:rPr>
            </w:pPr>
            <w:r>
              <w:rPr>
                <w:color w:val="000000"/>
                <w:sz w:val="20"/>
                <w:szCs w:val="20"/>
              </w:rPr>
              <w:t>fragrâncias: toque de pêssego, buquê dos sonhos, frescor irresistível, energia do guaraná, frutas e outros.</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700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Unid</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50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200</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200</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250</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40</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3449</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SACO PLÁSTICO PARA COLETA DE LIXO 100 LTRS contendo no mínimo 20 unidades.</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325</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Rolos</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25</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50</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100</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150</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41</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4009</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SACO PLÁSTICO PARA COLETA DE LIXO 15 LTRS contendo no mínimo 50 unidades.</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325</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Rolos</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25</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50</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100</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150</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42</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6755</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SACO PLÁSTICO PARA COLETA DE LIXO 30 LTRS contendo no mínimo 50 unidades.</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325</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Rolos</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25</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50</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100</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150</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43</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4131</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SACOLA PLÁSTICA TRANSPARENTE capacidade</w:t>
            </w:r>
          </w:p>
          <w:p>
            <w:pPr>
              <w:spacing/>
              <w:jc w:val="both"/>
              <w:rPr>
                <w:color w:val="000000"/>
                <w:sz w:val="20"/>
                <w:szCs w:val="20"/>
              </w:rPr>
            </w:pPr>
            <w:r>
              <w:rPr>
                <w:color w:val="000000"/>
                <w:sz w:val="20"/>
                <w:szCs w:val="20"/>
              </w:rPr>
              <w:t>de 5 kg, rolo contendo mínimo de 500 unidades.</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26</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Rolos</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rPr>
                <w:sz w:val="20"/>
                <w:szCs w:val="20"/>
              </w:rPr>
            </w:pPr>
            <w:r>
              <w:rPr>
                <w:sz w:val="20"/>
                <w:szCs w:val="20"/>
              </w:rPr>
              <w:t>05</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rPr>
                <w:sz w:val="20"/>
                <w:szCs w:val="20"/>
              </w:rPr>
            </w:pPr>
            <w:r>
              <w:rPr>
                <w:sz w:val="20"/>
                <w:szCs w:val="20"/>
              </w:rPr>
              <w:t>05</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rPr>
                <w:sz w:val="20"/>
                <w:szCs w:val="20"/>
              </w:rPr>
            </w:pPr>
            <w:r>
              <w:rPr>
                <w:sz w:val="20"/>
                <w:szCs w:val="20"/>
              </w:rPr>
              <w:t>06</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rPr>
                <w:sz w:val="20"/>
                <w:szCs w:val="20"/>
              </w:rPr>
            </w:pPr>
            <w:r>
              <w:rPr>
                <w:sz w:val="20"/>
                <w:szCs w:val="20"/>
              </w:rPr>
              <w:t>10</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44</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4139</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TOALHA DE ROSTO 45CM X 85 CM 100% algodão com detalhe decorativo, tecido encorporado (boa qualidade) cor: a escolher.</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312</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Unid</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12</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50</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100</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150</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45</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5056</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TOALHA DE PAPEL interfolhas 23x23cm, pacote com 1250 folhas</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210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Pct</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50</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50</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100</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46</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3474</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SABÃO DE COCO- Composição mínima – Óleo  de coco babuçu, hidróxido de sódio, carbonato de sódio.</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33</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Pcts</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03</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20</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05</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05</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47</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4558</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SHAMPOO Natural Kids - 350 ml</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100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Unid</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80</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20</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48</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3450</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VASSOURA DE PIAÇAVA Nº 5 de primeira qualidade e resistente, com cabo em madeira de lei, base no formato trapézio nº 5 (nº constando no produto).</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210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Unid</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30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60</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60</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60</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49</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3480</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VASSOURA DE PÊLO COM CABO DE MADEIRA de primeira qualidade e resistente, base no formato</w:t>
            </w:r>
          </w:p>
          <w:p>
            <w:pPr>
              <w:spacing/>
              <w:jc w:val="both"/>
              <w:rPr>
                <w:color w:val="000000"/>
                <w:sz w:val="20"/>
                <w:szCs w:val="20"/>
              </w:rPr>
            </w:pPr>
            <w:r>
              <w:rPr>
                <w:color w:val="000000"/>
                <w:sz w:val="20"/>
                <w:szCs w:val="20"/>
              </w:rPr>
              <w:t>de trapézio.</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120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Unid</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30</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30</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40</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50</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5086</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SABÃO EM BARRA GLICERINADO: Sabão a base de sódio, sequestrante, conservante, espessantes, emolientes, corante  e água. Embalagens com 05 pedaços de 200g, caixa contendo 12 conjuntos de 5 unidades.</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rPr>
                <w:sz w:val="20"/>
                <w:szCs w:val="20"/>
              </w:rPr>
            </w:pPr>
            <w:r>
              <w:rPr>
                <w:sz w:val="20"/>
                <w:szCs w:val="20"/>
              </w:rPr>
              <w:t xml:space="preserve">     23</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Cx</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03</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05</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05</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10</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51</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5025</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 xml:space="preserve">SABÃO ALUMÍNIO LÍQUIDO – galão 50 litros para limpar motor de veículos. </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04</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GL</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04</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52</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6743</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SABÃO SOLUPAN LÍQUIDO – galão 50 litros</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02</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GL</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02</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53</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5024</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SHAMPOO AUTOMOTIVO – galão 50 litros para limpar parabrisa de veículos.</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04</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GL</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04</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54</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7912</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VASSOURAS DE CABELO V2</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Unid</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20</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55</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6792</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LUVA PLÁSTICA DESCARTÁVEIS EM POLI-</w:t>
            </w:r>
          </w:p>
          <w:p>
            <w:pPr>
              <w:spacing/>
              <w:jc w:val="both"/>
              <w:rPr>
                <w:color w:val="000000"/>
                <w:sz w:val="20"/>
                <w:szCs w:val="20"/>
              </w:rPr>
            </w:pPr>
            <w:r>
              <w:rPr>
                <w:color w:val="000000"/>
                <w:sz w:val="20"/>
                <w:szCs w:val="20"/>
              </w:rPr>
              <w:t>ETILENO TAMANHO M</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07</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Cx</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01</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02</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02</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02</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56</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6793</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LUVA PLÁSTICA DESCARTÁVEIS EM POLI-</w:t>
            </w:r>
          </w:p>
          <w:p>
            <w:pPr>
              <w:spacing/>
              <w:jc w:val="both"/>
              <w:rPr>
                <w:color w:val="000000"/>
                <w:sz w:val="20"/>
                <w:szCs w:val="20"/>
              </w:rPr>
            </w:pPr>
            <w:r>
              <w:rPr>
                <w:color w:val="000000"/>
                <w:sz w:val="20"/>
                <w:szCs w:val="20"/>
              </w:rPr>
              <w:t>ETILENO TAMANHO G</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07</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Cx</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01</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02</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02</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02</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57</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6794</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TOUCA PLÁSTICA DE TNT-Cor branca, PCT</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16</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PCT</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01</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05</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05</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05</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58</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Com 100 unidades</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59</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7965</w:t>
            </w:r>
          </w:p>
        </w:tc>
        <w:tc>
          <w:tcPr>
            <w:tcW w:w="3261" w:type="dxa"/>
            <w:vAlign w:val="bottom"/>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rPr>
                <w:sz w:val="19"/>
                <w:szCs w:val="19"/>
              </w:rPr>
            </w:pPr>
            <w:r>
              <w:rPr>
                <w:sz w:val="19"/>
                <w:szCs w:val="19"/>
              </w:rPr>
              <w:t xml:space="preserve">ESPANADOR  COM  FIBRA  DE  NYLON  Nº 2  - tamanho aproximado 40 cm. </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11</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Unid</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02</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03</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03</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03</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r>
          </w:p>
        </w:tc>
      </w:tr>
      <w:tr>
        <w:trPr>
          <w:tblHeader w:val="0"/>
          <w:cantSplit w:val="0"/>
          <w:trHeight w:val="419" w:hRule="atLeast"/>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b/>
                <w:color w:val="000000"/>
                <w:sz w:val="36"/>
                <w:szCs w:val="36"/>
              </w:rPr>
            </w:pPr>
            <w:r>
              <w:rPr>
                <w:color w:val="000000"/>
                <w:sz w:val="20"/>
                <w:szCs w:val="20"/>
              </w:rPr>
              <w:t xml:space="preserve">                        </w:t>
            </w:r>
            <w:r>
              <w:rPr>
                <w:b/>
                <w:color w:val="000000"/>
                <w:sz w:val="36"/>
                <w:szCs w:val="36"/>
              </w:rPr>
              <w:t>UTENSÍLIOS</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01</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7213</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XÍCARA COM PIRES de Vidro Transparente- Capacidade 240 ml</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530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Unid</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30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100</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200</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200</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02</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6814</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CANECA DE VIDRO, tipo duplex, 300 ml</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580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Unid</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30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100</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250</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200</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03</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6010</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PRATO FUNDO de Vidro para Refeição temperado transparente.</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670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Unid</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150</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250</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250</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04</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7999</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COPO DE VIDRO LISO GRANDE transparente.200 ml</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420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Unid</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100</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150</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150</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05</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3468</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COLHER de aço inox (sopa)</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43</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Dz</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03</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10</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06</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4133</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FACA de serra inox (para refeição)</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43</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Dz</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03</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10</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07</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4564</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b/>
                <w:color w:val="000000"/>
                <w:sz w:val="20"/>
                <w:szCs w:val="20"/>
              </w:rPr>
            </w:pPr>
            <w:r>
              <w:rPr>
                <w:color w:val="000000"/>
                <w:sz w:val="20"/>
                <w:szCs w:val="20"/>
              </w:rPr>
              <w:t>GARFO</w:t>
            </w:r>
            <w:r>
              <w:rPr>
                <w:b/>
                <w:color w:val="000000"/>
                <w:sz w:val="20"/>
                <w:szCs w:val="20"/>
              </w:rPr>
              <w:t xml:space="preserve"> </w:t>
            </w:r>
            <w:r>
              <w:rPr>
                <w:color w:val="000000"/>
                <w:sz w:val="20"/>
                <w:szCs w:val="20"/>
              </w:rPr>
              <w:t>de Aço Inox (Refeição)</w:t>
            </w:r>
            <w:r>
              <w:rPr>
                <w:b/>
                <w:color w:val="000000"/>
                <w:sz w:val="20"/>
                <w:szCs w:val="20"/>
              </w:rPr>
              <w:t xml:space="preserve"> </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53</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DZ</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03</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10</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20</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20</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08</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2372</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 xml:space="preserve">COLHER GRANDE de Inox para Arroz </w:t>
            </w:r>
            <w:r>
              <w:t xml:space="preserve"> </w:t>
            </w:r>
            <w:r>
              <w:rPr>
                <w:color w:val="000000"/>
                <w:sz w:val="20"/>
                <w:szCs w:val="20"/>
              </w:rPr>
              <w:t>cabo polipropileno-31cm</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52</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Unid</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03</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05</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24</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20</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09</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5074</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FACA COM LÂMINA EM AÇO INOX 10" aço inoxidável semi desbatada, com fio liso, cabo em polipropileno injetado diretamente na lâmina, cabo anatômico e texturizado (evitando o deslizar da mão durante o uso), dimensões aproximadas do produto: 37 x 4cm.</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42</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Unid</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02</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10</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10</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4140</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FACA COM LÂMINA DE AÇO 8" PARA PÃO - 32 CM com fio serrilhado, cabo de policarbonato com fibra de vidro.</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57</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Unid</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02</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05</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25</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25</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11</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7896</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BALDE PLÁSTICO EM POLIETILENO -CAPACIDADE 20 LITROS de alta qualidade, alta resistência  de impactos,  paredes,  fundo  e encaixe de  alça reforça dos, alça em aço 1010/20 zincado.</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110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Unid</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20</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40</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40</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color w:val="000000"/>
                <w:sz w:val="20"/>
                <w:szCs w:val="20"/>
              </w:rPr>
            </w:pPr>
            <w:r>
              <w:rPr>
                <w:color w:val="000000"/>
                <w:sz w:val="20"/>
                <w:szCs w:val="20"/>
              </w:rPr>
              <w:t>12</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1304</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 xml:space="preserve">LIXEIRA COMUM 08 LITROS </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color w:val="000000"/>
                <w:sz w:val="20"/>
                <w:szCs w:val="20"/>
              </w:rPr>
            </w:pPr>
            <w:r>
              <w:rPr>
                <w:color w:val="000000"/>
                <w:sz w:val="20"/>
                <w:szCs w:val="20"/>
              </w:rPr>
              <w:t>100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color w:val="000000"/>
                <w:sz w:val="20"/>
                <w:szCs w:val="20"/>
              </w:rPr>
            </w:pPr>
            <w:r>
              <w:rPr>
                <w:color w:val="000000"/>
                <w:sz w:val="20"/>
                <w:szCs w:val="20"/>
              </w:rPr>
              <w:t>Unid</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20</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30</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40</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color w:val="000000"/>
                <w:sz w:val="20"/>
                <w:szCs w:val="20"/>
              </w:rPr>
            </w:pPr>
            <w:r>
              <w:rPr>
                <w:color w:val="000000"/>
                <w:sz w:val="20"/>
                <w:szCs w:val="20"/>
              </w:rPr>
              <w:t>13</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3463</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LIXEIRA DE PLÁSTICO com capacidade para 100 litros - material resistente com tampa.</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color w:val="000000"/>
                <w:sz w:val="20"/>
                <w:szCs w:val="20"/>
              </w:rPr>
            </w:pPr>
            <w:r>
              <w:rPr>
                <w:color w:val="000000"/>
                <w:sz w:val="20"/>
                <w:szCs w:val="20"/>
              </w:rPr>
              <w:t>40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color w:val="000000"/>
                <w:sz w:val="20"/>
                <w:szCs w:val="20"/>
              </w:rPr>
            </w:pPr>
            <w:r>
              <w:rPr>
                <w:color w:val="000000"/>
                <w:sz w:val="20"/>
                <w:szCs w:val="20"/>
              </w:rPr>
              <w:t>Unid</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10</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10</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10</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color w:val="000000"/>
                <w:sz w:val="20"/>
                <w:szCs w:val="20"/>
              </w:rPr>
            </w:pPr>
            <w:r>
              <w:rPr>
                <w:color w:val="000000"/>
                <w:sz w:val="20"/>
                <w:szCs w:val="20"/>
              </w:rPr>
              <w:t>14</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5553</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MANGUEIRA PLÁSTICA 1/2 POLEGADAS PARA</w:t>
            </w:r>
          </w:p>
          <w:p>
            <w:pPr>
              <w:spacing/>
              <w:jc w:val="both"/>
              <w:rPr>
                <w:color w:val="000000"/>
                <w:sz w:val="20"/>
                <w:szCs w:val="20"/>
              </w:rPr>
            </w:pPr>
            <w:r>
              <w:rPr>
                <w:color w:val="000000"/>
                <w:sz w:val="20"/>
                <w:szCs w:val="20"/>
              </w:rPr>
              <w:t xml:space="preserve">JARDINAGEM COM 15 METROS </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color w:val="000000"/>
                <w:sz w:val="20"/>
                <w:szCs w:val="20"/>
              </w:rPr>
            </w:pPr>
            <w:r>
              <w:rPr>
                <w:color w:val="000000"/>
                <w:sz w:val="20"/>
                <w:szCs w:val="20"/>
              </w:rPr>
              <w:t>28</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color w:val="000000"/>
                <w:sz w:val="20"/>
                <w:szCs w:val="20"/>
              </w:rPr>
            </w:pPr>
            <w:r>
              <w:rPr>
                <w:color w:val="000000"/>
                <w:sz w:val="20"/>
                <w:szCs w:val="20"/>
              </w:rPr>
              <w:t>Rolo</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03</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05</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10</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10</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5046</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BANDEJA  Retangular com Alça de Inox 42cm x 30cm</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40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Unid</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05</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05</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16</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3453</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COADOR DE CAFÉ DE PANO GRANDE- 12CM-  COM SUPORTEDE ARAME GALVANIZADO E CABO MADEIRA</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75</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Unid</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25</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25</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17</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3451</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 xml:space="preserve">CANECÃO DE ALUMÍNIO C/ CAPACIDADE PARA 2 LITROS - </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55</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Unid</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05</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10</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20</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20</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18</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7969</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CANECÃO DE ALUMÍNIO C/ CAPACIDADE P /    3,2 LTS</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40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Unid</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05</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05</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nil" w:sz="0" w:space="0" w:color="000000" tmln="2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19</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nil" w:sz="0" w:space="0" w:color="000000" tmln="2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6820</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nil" w:sz="0" w:space="0" w:color="000000" tmln="2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ASSADEIRA RETANGULAR EM ALUMÍNIO</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nil" w:sz="0" w:space="0" w:color="000000" tmln="2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40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nil" w:sz="0" w:space="0" w:color="000000" tmln="2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Unid</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nil" w:sz="0" w:space="0" w:color="000000" tmln="2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05</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nil" w:sz="0" w:space="0" w:color="000000" tmln="2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05</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nil" w:sz="0" w:space="0" w:color="000000" tmln="2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nil" w:sz="0" w:space="0" w:color="000000" tmln="2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r>
      <w:tr>
        <w:trPr>
          <w:tblHeader w:val="0"/>
          <w:cantSplit w:val="0"/>
          <w:trHeight w:val="0" w:hRule="auto"/>
        </w:trPr>
        <w:tc>
          <w:tcPr>
            <w:tcW w:w="534" w:type="dxa"/>
            <w:shd w:val="none"/>
            <w:tcMar>
              <w:top w:w="0" w:type="dxa"/>
              <w:left w:w="108" w:type="dxa"/>
              <w:bottom w:w="0" w:type="dxa"/>
              <w:right w:w="108" w:type="dxa"/>
            </w:tcMar>
            <w:tcBorders>
              <w:top w:val="nil" w:sz="0" w:space="0" w:color="000000" tmln="2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r>
          </w:p>
        </w:tc>
        <w:tc>
          <w:tcPr>
            <w:tcW w:w="708" w:type="dxa"/>
            <w:shd w:val="none"/>
            <w:tcMar>
              <w:top w:w="0" w:type="dxa"/>
              <w:left w:w="108" w:type="dxa"/>
              <w:bottom w:w="0" w:type="dxa"/>
              <w:right w:w="108" w:type="dxa"/>
            </w:tcMar>
            <w:tcBorders>
              <w:top w:val="nil" w:sz="0" w:space="0" w:color="000000" tmln="2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r>
          </w:p>
        </w:tc>
        <w:tc>
          <w:tcPr>
            <w:tcW w:w="3261" w:type="dxa"/>
            <w:shd w:val="none"/>
            <w:tcMar>
              <w:top w:w="0" w:type="dxa"/>
              <w:left w:w="108" w:type="dxa"/>
              <w:bottom w:w="0" w:type="dxa"/>
              <w:right w:w="108" w:type="dxa"/>
            </w:tcMar>
            <w:tcBorders>
              <w:top w:val="nil" w:sz="0" w:space="0" w:color="000000" tmln="2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Nº 04 com dimensões 29 cm x 40 cm x 6 cm alt.</w:t>
            </w:r>
          </w:p>
        </w:tc>
        <w:tc>
          <w:tcPr>
            <w:tcW w:w="992" w:type="dxa"/>
            <w:shd w:val="none"/>
            <w:tcMar>
              <w:top w:w="0" w:type="dxa"/>
              <w:left w:w="108" w:type="dxa"/>
              <w:bottom w:w="0" w:type="dxa"/>
              <w:right w:w="108" w:type="dxa"/>
            </w:tcMar>
            <w:tcBorders>
              <w:top w:val="nil" w:sz="0" w:space="0" w:color="000000" tmln="2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r>
          </w:p>
        </w:tc>
        <w:tc>
          <w:tcPr>
            <w:tcW w:w="850" w:type="dxa"/>
            <w:shd w:val="none"/>
            <w:tcMar>
              <w:top w:w="0" w:type="dxa"/>
              <w:left w:w="108" w:type="dxa"/>
              <w:bottom w:w="0" w:type="dxa"/>
              <w:right w:w="108" w:type="dxa"/>
            </w:tcMar>
            <w:tcBorders>
              <w:top w:val="nil" w:sz="0" w:space="0" w:color="000000" tmln="2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r>
          </w:p>
        </w:tc>
        <w:tc>
          <w:tcPr>
            <w:tcW w:w="851" w:type="dxa"/>
            <w:shd w:val="none"/>
            <w:tcMar>
              <w:top w:w="0" w:type="dxa"/>
              <w:left w:w="108" w:type="dxa"/>
              <w:bottom w:w="0" w:type="dxa"/>
              <w:right w:w="108" w:type="dxa"/>
            </w:tcMar>
            <w:tcBorders>
              <w:top w:val="nil" w:sz="0" w:space="0" w:color="000000" tmln="2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r>
          </w:p>
        </w:tc>
        <w:tc>
          <w:tcPr>
            <w:tcW w:w="850" w:type="dxa"/>
            <w:shd w:val="none"/>
            <w:tcMar>
              <w:top w:w="0" w:type="dxa"/>
              <w:left w:w="108" w:type="dxa"/>
              <w:bottom w:w="0" w:type="dxa"/>
              <w:right w:w="108" w:type="dxa"/>
            </w:tcMar>
            <w:tcBorders>
              <w:top w:val="nil" w:sz="0" w:space="0" w:color="000000" tmln="2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r>
          </w:p>
        </w:tc>
        <w:tc>
          <w:tcPr>
            <w:tcW w:w="1134" w:type="dxa"/>
            <w:shd w:val="none"/>
            <w:tcMar>
              <w:top w:w="0" w:type="dxa"/>
              <w:left w:w="108" w:type="dxa"/>
              <w:bottom w:w="0" w:type="dxa"/>
              <w:right w:w="108" w:type="dxa"/>
            </w:tcMar>
            <w:tcBorders>
              <w:top w:val="nil" w:sz="0" w:space="0" w:color="000000" tmln="2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r>
          </w:p>
        </w:tc>
        <w:tc>
          <w:tcPr>
            <w:tcW w:w="1418" w:type="dxa"/>
            <w:shd w:val="none"/>
            <w:tcMar>
              <w:top w:w="0" w:type="dxa"/>
              <w:left w:w="108" w:type="dxa"/>
              <w:bottom w:w="0" w:type="dxa"/>
              <w:right w:w="108" w:type="dxa"/>
            </w:tcMar>
            <w:tcBorders>
              <w:top w:val="nil" w:sz="0" w:space="0" w:color="000000" tmln="2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20</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6818</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BACIA PLÁSTICA GRANDE , 15 LITROS</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40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Unid</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05</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05</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21</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6819</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BACIA PLÁSTICA PEQUENA , 5 LITROS</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40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Unid</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05</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05</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22</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6809</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CONCHA GRANDE AÇO INOX 58 CM</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40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Unid</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05</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05</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23</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6808</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CONCHA GRANDE AÇO INOX 30 CM</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40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Unid</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05</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05</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24</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6822</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ESCORREDOR DE MASSA EM AÇO INOX COM ALÇAS- DIÂMETRO 30 CM</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40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Unid</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05</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05</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25</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6805</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ESCUMADEIRA PEQUENA AÇO INOX 30 CM</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40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Unid</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05</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05</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26</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6806</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ESCUMADEIRA GRANDE AÇO INOX 58 CM</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40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Unid</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05</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05</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27</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6797</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GARRAFA DE CAFÉ DE 1,6 LITROS</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40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Unid</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05</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05</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28</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6802</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JARRA DE PLÁSTICO RESISTENTE COM TAMPA- Capacidade para 04 litros</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color w:val="000000"/>
                <w:sz w:val="20"/>
                <w:szCs w:val="20"/>
              </w:rPr>
            </w:pPr>
            <w:r>
              <w:rPr>
                <w:color w:val="000000"/>
                <w:sz w:val="20"/>
                <w:szCs w:val="20"/>
              </w:rPr>
              <w:t>40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color w:val="000000"/>
                <w:sz w:val="20"/>
                <w:szCs w:val="20"/>
              </w:rPr>
            </w:pPr>
            <w:r>
              <w:rPr>
                <w:color w:val="000000"/>
                <w:sz w:val="20"/>
                <w:szCs w:val="20"/>
              </w:rPr>
              <w:t>Unid</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05</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05</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29</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2204</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JARRA DE VIDRO TRANSPARENTE COM ALÇA– CAPACIDADE 02 LITROS</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color w:val="000000"/>
                <w:sz w:val="20"/>
                <w:szCs w:val="20"/>
              </w:rPr>
            </w:pPr>
            <w:r>
              <w:rPr>
                <w:color w:val="000000"/>
                <w:sz w:val="20"/>
                <w:szCs w:val="20"/>
              </w:rPr>
              <w:t>40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color w:val="000000"/>
                <w:sz w:val="20"/>
                <w:szCs w:val="20"/>
              </w:rPr>
            </w:pPr>
            <w:r>
              <w:rPr>
                <w:color w:val="000000"/>
                <w:sz w:val="20"/>
                <w:szCs w:val="20"/>
              </w:rPr>
              <w:t>Unid</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05</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05</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30</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6786</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JOGO DE PLÁSTICO REDONDO P/ MANTIMENTOS-C/05 PEÇAS</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40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rPr>
                <w:sz w:val="20"/>
                <w:szCs w:val="20"/>
              </w:rPr>
            </w:pPr>
            <w:r>
              <w:rPr>
                <w:sz w:val="20"/>
                <w:szCs w:val="20"/>
              </w:rPr>
              <w:t>Jogo</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05</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05</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31</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6796</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PANELA DE PRESSÃO EM AÇO INOX DE 07</w:t>
            </w:r>
          </w:p>
          <w:p>
            <w:pPr>
              <w:spacing/>
              <w:jc w:val="both"/>
              <w:rPr>
                <w:color w:val="000000"/>
                <w:sz w:val="20"/>
                <w:szCs w:val="20"/>
              </w:rPr>
            </w:pPr>
            <w:r>
              <w:rPr>
                <w:color w:val="000000"/>
                <w:sz w:val="20"/>
                <w:szCs w:val="20"/>
              </w:rPr>
              <w:t>LITROS COM TRAVA DE SEGURANÇA, TAMPA COM ANEL DE BORRACHA</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40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Unid</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05</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05</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32</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6795</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PANELA DE PRESSÃO EM AÇO INOX DE 20</w:t>
            </w:r>
          </w:p>
          <w:p>
            <w:pPr>
              <w:spacing/>
              <w:jc w:val="both"/>
              <w:rPr>
                <w:color w:val="000000"/>
                <w:sz w:val="20"/>
                <w:szCs w:val="20"/>
              </w:rPr>
            </w:pPr>
            <w:r>
              <w:rPr>
                <w:color w:val="000000"/>
                <w:sz w:val="20"/>
                <w:szCs w:val="20"/>
              </w:rPr>
              <w:t>LITROS COM TRAVA DE SEGURANÇA, TAMPA COM ANEL DE BORRACHA</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40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Unid</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05</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05</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33</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6825</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PANELA DE ALUMÍNIO BATIDO COM TAMPA Nº 30- capacidade aproximada 05 litros.</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40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Unid</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05</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05</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34</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6824</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PANELA DE ALUMÍNIO BATIDO COM TAMPA Nº 50- capacidade aproximada 30 litros.</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40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Unid</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05</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05</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35</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6816</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RALADOR DE ALIMENTOS EM INOX- 04 fa-</w:t>
            </w:r>
          </w:p>
          <w:p>
            <w:pPr>
              <w:spacing/>
              <w:jc w:val="both"/>
              <w:rPr>
                <w:color w:val="000000"/>
                <w:sz w:val="20"/>
                <w:szCs w:val="20"/>
              </w:rPr>
            </w:pPr>
            <w:r>
              <w:rPr>
                <w:color w:val="000000"/>
                <w:sz w:val="20"/>
                <w:szCs w:val="20"/>
              </w:rPr>
              <w:t>ces – dimensões: base 10 cm x 08 cm, altura 23cm.</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36</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Unid</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03</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03</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36</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6817</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SALEIRO DE PLÁSTICO TRANSPARENTE</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34</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Unid</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02</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02</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37</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6815</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SOCADOR DE ALHO DE PLÁSTICO</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34</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Unid</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02</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02</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38</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6787</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TÁBUA DE CORTE EM POLIETILENO COLORIDA 31X46 CM DE ESPESSURA</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34</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Unid</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02</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02</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39</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5077</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TABULEIRO GRANDE DE ALUMÍNIO  30X43X4 ALUMÍNIO</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40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Unid</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05</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05</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40</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6785</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CAIXA PLÁSTICA RETANGULAR – com tampa Hermétrica: 11 litros</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40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Unid</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05</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05</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41</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6785</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CAIXA PLÁSTICA RETANGULAR – com tampa Hermétrica:26,5 litros</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40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Unid</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05</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05</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42</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7980</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 xml:space="preserve">FRIGIDEIRA EM ALUMÍNIO - 36 CM DE DIÂMETRO  </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40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Unid</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05</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05</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43</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5071</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ESCORREDOR DE PRATOS EM MATERIAL AÇO INOX - capacidade para 16 pratos.</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40</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Unid</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05</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05</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nil" w:sz="0" w:space="0" w:color="000000" tmln="2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44</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nil" w:sz="0" w:space="0" w:color="000000" tmln="2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7970</w:t>
            </w:r>
          </w:p>
        </w:tc>
        <w:tc>
          <w:tcPr>
            <w:tcW w:w="3261" w:type="dxa"/>
            <w:vAlign w:val="bottom"/>
            <w:shd w:val="none"/>
            <w:tcMar>
              <w:top w:w="0" w:type="dxa"/>
              <w:left w:w="108" w:type="dxa"/>
              <w:bottom w:w="0" w:type="dxa"/>
              <w:right w:w="108" w:type="dxa"/>
            </w:tcMar>
            <w:tcBorders>
              <w:top w:val="single" w:sz="4" w:space="0" w:color="000000" tmln="10, 20, 20, 0, 0"/>
              <w:left w:val="single" w:sz="4" w:space="0" w:color="000000" tmln="10, 20, 20, 0, 0"/>
              <w:bottom w:val="nil" w:sz="0" w:space="0" w:color="000000" tmln="20, 20, 20, 0, 0"/>
              <w:right w:val="single" w:sz="4" w:space="0" w:color="000000" tmln="10, 20, 20, 0, 0"/>
              <w:tl2br w:val="nil" w:sz="0" w:space="0" w:color="000000" tmln="20, 20, 20, 0, 0"/>
              <w:tr2bl w:val="nil" w:sz="0" w:space="0" w:color="000000" tmln="20, 20, 20, 0, 0"/>
            </w:tcBorders>
            <w:tmTcPr id="1566386002" protected="1"/>
          </w:tcPr>
          <w:p>
            <w:pPr>
              <w:rPr>
                <w:sz w:val="19"/>
                <w:szCs w:val="19"/>
              </w:rPr>
            </w:pPr>
            <w:r>
              <w:rPr>
                <w:sz w:val="19"/>
                <w:szCs w:val="19"/>
              </w:rPr>
              <w:t>COLETOR  PARA  COPOS   DESCARTÁVEIS COM  02  TUBOS  MISTOS   PARA  COPO DE</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nil" w:sz="0" w:space="0" w:color="000000" tmln="2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nil" w:sz="0" w:space="0" w:color="000000" tmln="2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nil" w:sz="0" w:space="0" w:color="000000" tmln="2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03</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nil" w:sz="0" w:space="0" w:color="000000" tmln="2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03</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nil" w:sz="0" w:space="0" w:color="000000" tmln="2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nil" w:sz="0" w:space="0" w:color="000000" tmln="2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r>
      <w:tr>
        <w:trPr>
          <w:tblHeader w:val="0"/>
          <w:cantSplit w:val="0"/>
          <w:trHeight w:val="0" w:hRule="auto"/>
        </w:trPr>
        <w:tc>
          <w:tcPr>
            <w:tcW w:w="534" w:type="dxa"/>
            <w:shd w:val="none"/>
            <w:tcMar>
              <w:top w:w="0" w:type="dxa"/>
              <w:left w:w="108" w:type="dxa"/>
              <w:bottom w:w="0" w:type="dxa"/>
              <w:right w:w="108" w:type="dxa"/>
            </w:tcMar>
            <w:tcBorders>
              <w:top w:val="nil" w:sz="0" w:space="0" w:color="000000" tmln="20, 20, 20, 0, 0"/>
              <w:left w:val="single" w:sz="4" w:space="0" w:color="000000" tmln="10, 20, 20, 0, 0"/>
              <w:bottom w:val="nil" w:sz="0" w:space="0" w:color="000000" tmln="2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r>
          </w:p>
        </w:tc>
        <w:tc>
          <w:tcPr>
            <w:tcW w:w="708" w:type="dxa"/>
            <w:shd w:val="none"/>
            <w:tcMar>
              <w:top w:w="0" w:type="dxa"/>
              <w:left w:w="108" w:type="dxa"/>
              <w:bottom w:w="0" w:type="dxa"/>
              <w:right w:w="108" w:type="dxa"/>
            </w:tcMar>
            <w:tcBorders>
              <w:top w:val="nil" w:sz="0" w:space="0" w:color="000000" tmln="20, 20, 20, 0, 0"/>
              <w:left w:val="single" w:sz="4" w:space="0" w:color="000000" tmln="10, 20, 20, 0, 0"/>
              <w:bottom w:val="nil" w:sz="0" w:space="0" w:color="000000" tmln="2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r>
          </w:p>
        </w:tc>
        <w:tc>
          <w:tcPr>
            <w:tcW w:w="3261" w:type="dxa"/>
            <w:vAlign w:val="bottom"/>
            <w:shd w:val="none"/>
            <w:tcMar>
              <w:top w:w="0" w:type="dxa"/>
              <w:left w:w="108" w:type="dxa"/>
              <w:bottom w:w="0" w:type="dxa"/>
              <w:right w:w="108" w:type="dxa"/>
            </w:tcMar>
            <w:tcBorders>
              <w:top w:val="nil" w:sz="0" w:space="0" w:color="000000" tmln="20, 20, 20, 0, 0"/>
              <w:left w:val="single" w:sz="4" w:space="0" w:color="000000" tmln="10, 20, 20, 0, 0"/>
              <w:bottom w:val="nil" w:sz="0" w:space="0" w:color="000000" tmln="20, 20, 20, 0, 0"/>
              <w:right w:val="single" w:sz="4" w:space="0" w:color="000000" tmln="10, 20, 20, 0, 0"/>
              <w:tl2br w:val="nil" w:sz="0" w:space="0" w:color="000000" tmln="20, 20, 20, 0, 0"/>
              <w:tr2bl w:val="nil" w:sz="0" w:space="0" w:color="000000" tmln="20, 20, 20, 0, 0"/>
            </w:tcBorders>
            <w:tmTcPr id="1566386002" protected="1"/>
          </w:tcPr>
          <w:p>
            <w:pPr>
              <w:rPr>
                <w:sz w:val="19"/>
                <w:szCs w:val="19"/>
              </w:rPr>
            </w:pPr>
            <w:r>
              <w:rPr>
                <w:sz w:val="19"/>
                <w:szCs w:val="19"/>
              </w:rPr>
              <w:t>CAFÉ E ÁGUAS  na  cor  branca, com  capacidade</w:t>
            </w:r>
          </w:p>
        </w:tc>
        <w:tc>
          <w:tcPr>
            <w:tcW w:w="992" w:type="dxa"/>
            <w:shd w:val="none"/>
            <w:tcMar>
              <w:top w:w="0" w:type="dxa"/>
              <w:left w:w="108" w:type="dxa"/>
              <w:bottom w:w="0" w:type="dxa"/>
              <w:right w:w="108" w:type="dxa"/>
            </w:tcMar>
            <w:tcBorders>
              <w:top w:val="nil" w:sz="0" w:space="0" w:color="000000" tmln="20, 20, 20, 0, 0"/>
              <w:left w:val="single" w:sz="4" w:space="0" w:color="000000" tmln="10, 20, 20, 0, 0"/>
              <w:bottom w:val="nil" w:sz="0" w:space="0" w:color="000000" tmln="2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36</w:t>
            </w:r>
          </w:p>
        </w:tc>
        <w:tc>
          <w:tcPr>
            <w:tcW w:w="850" w:type="dxa"/>
            <w:shd w:val="none"/>
            <w:tcMar>
              <w:top w:w="0" w:type="dxa"/>
              <w:left w:w="108" w:type="dxa"/>
              <w:bottom w:w="0" w:type="dxa"/>
              <w:right w:w="108" w:type="dxa"/>
            </w:tcMar>
            <w:tcBorders>
              <w:top w:val="nil" w:sz="0" w:space="0" w:color="000000" tmln="20, 20, 20, 0, 0"/>
              <w:left w:val="single" w:sz="4" w:space="0" w:color="000000" tmln="10, 20, 20, 0, 0"/>
              <w:bottom w:val="nil" w:sz="0" w:space="0" w:color="000000" tmln="2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Unid</w:t>
            </w:r>
          </w:p>
        </w:tc>
        <w:tc>
          <w:tcPr>
            <w:tcW w:w="851" w:type="dxa"/>
            <w:shd w:val="none"/>
            <w:tcMar>
              <w:top w:w="0" w:type="dxa"/>
              <w:left w:w="108" w:type="dxa"/>
              <w:bottom w:w="0" w:type="dxa"/>
              <w:right w:w="108" w:type="dxa"/>
            </w:tcMar>
            <w:tcBorders>
              <w:top w:val="nil" w:sz="0" w:space="0" w:color="000000" tmln="20, 20, 20, 0, 0"/>
              <w:left w:val="single" w:sz="4" w:space="0" w:color="000000" tmln="10, 20, 20, 0, 0"/>
              <w:bottom w:val="nil" w:sz="0" w:space="0" w:color="000000" tmln="2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r>
          </w:p>
        </w:tc>
        <w:tc>
          <w:tcPr>
            <w:tcW w:w="850" w:type="dxa"/>
            <w:shd w:val="none"/>
            <w:tcMar>
              <w:top w:w="0" w:type="dxa"/>
              <w:left w:w="108" w:type="dxa"/>
              <w:bottom w:w="0" w:type="dxa"/>
              <w:right w:w="108" w:type="dxa"/>
            </w:tcMar>
            <w:tcBorders>
              <w:top w:val="nil" w:sz="0" w:space="0" w:color="000000" tmln="20, 20, 20, 0, 0"/>
              <w:left w:val="single" w:sz="4" w:space="0" w:color="000000" tmln="10, 20, 20, 0, 0"/>
              <w:bottom w:val="nil" w:sz="0" w:space="0" w:color="000000" tmln="2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r>
          </w:p>
        </w:tc>
        <w:tc>
          <w:tcPr>
            <w:tcW w:w="1134" w:type="dxa"/>
            <w:shd w:val="none"/>
            <w:tcMar>
              <w:top w:w="0" w:type="dxa"/>
              <w:left w:w="108" w:type="dxa"/>
              <w:bottom w:w="0" w:type="dxa"/>
              <w:right w:w="108" w:type="dxa"/>
            </w:tcMar>
            <w:tcBorders>
              <w:top w:val="nil" w:sz="0" w:space="0" w:color="000000" tmln="20, 20, 20, 0, 0"/>
              <w:left w:val="single" w:sz="4" w:space="0" w:color="000000" tmln="10, 20, 20, 0, 0"/>
              <w:bottom w:val="nil" w:sz="0" w:space="0" w:color="000000" tmln="2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r>
          </w:p>
        </w:tc>
        <w:tc>
          <w:tcPr>
            <w:tcW w:w="1418" w:type="dxa"/>
            <w:shd w:val="none"/>
            <w:tcMar>
              <w:top w:w="0" w:type="dxa"/>
              <w:left w:w="108" w:type="dxa"/>
              <w:bottom w:w="0" w:type="dxa"/>
              <w:right w:w="108" w:type="dxa"/>
            </w:tcMar>
            <w:tcBorders>
              <w:top w:val="nil" w:sz="0" w:space="0" w:color="000000" tmln="20, 20, 20, 0, 0"/>
              <w:left w:val="single" w:sz="4" w:space="0" w:color="000000" tmln="10, 20, 20, 0, 0"/>
              <w:bottom w:val="nil" w:sz="0" w:space="0" w:color="000000" tmln="2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r>
          </w:p>
        </w:tc>
      </w:tr>
      <w:tr>
        <w:trPr>
          <w:tblHeader w:val="0"/>
          <w:cantSplit w:val="0"/>
          <w:trHeight w:val="0" w:hRule="auto"/>
        </w:trPr>
        <w:tc>
          <w:tcPr>
            <w:tcW w:w="534" w:type="dxa"/>
            <w:shd w:val="none"/>
            <w:tcMar>
              <w:top w:w="0" w:type="dxa"/>
              <w:left w:w="108" w:type="dxa"/>
              <w:bottom w:w="0" w:type="dxa"/>
              <w:right w:w="108" w:type="dxa"/>
            </w:tcMar>
            <w:tcBorders>
              <w:top w:val="nil" w:sz="0" w:space="0" w:color="000000" tmln="20, 20, 20, 0, 0"/>
              <w:left w:val="single" w:sz="4" w:space="0" w:color="000000" tmln="10, 20, 20, 0, 0"/>
              <w:bottom w:val="nil" w:sz="0" w:space="0" w:color="000000" tmln="2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r>
          </w:p>
        </w:tc>
        <w:tc>
          <w:tcPr>
            <w:tcW w:w="708" w:type="dxa"/>
            <w:shd w:val="none"/>
            <w:tcMar>
              <w:top w:w="0" w:type="dxa"/>
              <w:left w:w="108" w:type="dxa"/>
              <w:bottom w:w="0" w:type="dxa"/>
              <w:right w:w="108" w:type="dxa"/>
            </w:tcMar>
            <w:tcBorders>
              <w:top w:val="nil" w:sz="0" w:space="0" w:color="000000" tmln="20, 20, 20, 0, 0"/>
              <w:left w:val="single" w:sz="4" w:space="0" w:color="000000" tmln="10, 20, 20, 0, 0"/>
              <w:bottom w:val="nil" w:sz="0" w:space="0" w:color="000000" tmln="2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r>
          </w:p>
        </w:tc>
        <w:tc>
          <w:tcPr>
            <w:tcW w:w="3261" w:type="dxa"/>
            <w:vAlign w:val="bottom"/>
            <w:shd w:val="none"/>
            <w:tcMar>
              <w:top w:w="0" w:type="dxa"/>
              <w:left w:w="108" w:type="dxa"/>
              <w:bottom w:w="0" w:type="dxa"/>
              <w:right w:w="108" w:type="dxa"/>
            </w:tcMar>
            <w:tcBorders>
              <w:top w:val="nil" w:sz="0" w:space="0" w:color="000000" tmln="20, 20, 20, 0, 0"/>
              <w:left w:val="single" w:sz="4" w:space="0" w:color="000000" tmln="10, 20, 20, 0, 0"/>
              <w:bottom w:val="nil" w:sz="0" w:space="0" w:color="000000" tmln="20, 20, 20, 0, 0"/>
              <w:right w:val="single" w:sz="4" w:space="0" w:color="000000" tmln="10, 20, 20, 0, 0"/>
              <w:tl2br w:val="nil" w:sz="0" w:space="0" w:color="000000" tmln="20, 20, 20, 0, 0"/>
              <w:tr2bl w:val="nil" w:sz="0" w:space="0" w:color="000000" tmln="20, 20, 20, 0, 0"/>
            </w:tcBorders>
            <w:tmTcPr id="1566386002" protected="1"/>
          </w:tcPr>
          <w:p>
            <w:pPr>
              <w:rPr>
                <w:sz w:val="19"/>
                <w:szCs w:val="19"/>
              </w:rPr>
            </w:pPr>
            <w:r>
              <w:rPr>
                <w:sz w:val="19"/>
                <w:szCs w:val="19"/>
              </w:rPr>
              <w:t>para 300 copos,  dimensões  aproximada:  75cm</w:t>
            </w:r>
          </w:p>
        </w:tc>
        <w:tc>
          <w:tcPr>
            <w:tcW w:w="992" w:type="dxa"/>
            <w:shd w:val="none"/>
            <w:tcMar>
              <w:top w:w="0" w:type="dxa"/>
              <w:left w:w="108" w:type="dxa"/>
              <w:bottom w:w="0" w:type="dxa"/>
              <w:right w:w="108" w:type="dxa"/>
            </w:tcMar>
            <w:tcBorders>
              <w:top w:val="nil" w:sz="0" w:space="0" w:color="000000" tmln="20, 20, 20, 0, 0"/>
              <w:left w:val="single" w:sz="4" w:space="0" w:color="000000" tmln="10, 20, 20, 0, 0"/>
              <w:bottom w:val="nil" w:sz="0" w:space="0" w:color="000000" tmln="2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r>
          </w:p>
        </w:tc>
        <w:tc>
          <w:tcPr>
            <w:tcW w:w="850" w:type="dxa"/>
            <w:shd w:val="none"/>
            <w:tcMar>
              <w:top w:w="0" w:type="dxa"/>
              <w:left w:w="108" w:type="dxa"/>
              <w:bottom w:w="0" w:type="dxa"/>
              <w:right w:w="108" w:type="dxa"/>
            </w:tcMar>
            <w:tcBorders>
              <w:top w:val="nil" w:sz="0" w:space="0" w:color="000000" tmln="20, 20, 20, 0, 0"/>
              <w:left w:val="single" w:sz="4" w:space="0" w:color="000000" tmln="10, 20, 20, 0, 0"/>
              <w:bottom w:val="nil" w:sz="0" w:space="0" w:color="000000" tmln="2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r>
          </w:p>
        </w:tc>
        <w:tc>
          <w:tcPr>
            <w:tcW w:w="851" w:type="dxa"/>
            <w:shd w:val="none"/>
            <w:tcMar>
              <w:top w:w="0" w:type="dxa"/>
              <w:left w:w="108" w:type="dxa"/>
              <w:bottom w:w="0" w:type="dxa"/>
              <w:right w:w="108" w:type="dxa"/>
            </w:tcMar>
            <w:tcBorders>
              <w:top w:val="nil" w:sz="0" w:space="0" w:color="000000" tmln="20, 20, 20, 0, 0"/>
              <w:left w:val="single" w:sz="4" w:space="0" w:color="000000" tmln="10, 20, 20, 0, 0"/>
              <w:bottom w:val="nil" w:sz="0" w:space="0" w:color="000000" tmln="2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r>
          </w:p>
        </w:tc>
        <w:tc>
          <w:tcPr>
            <w:tcW w:w="850" w:type="dxa"/>
            <w:shd w:val="none"/>
            <w:tcMar>
              <w:top w:w="0" w:type="dxa"/>
              <w:left w:w="108" w:type="dxa"/>
              <w:bottom w:w="0" w:type="dxa"/>
              <w:right w:w="108" w:type="dxa"/>
            </w:tcMar>
            <w:tcBorders>
              <w:top w:val="nil" w:sz="0" w:space="0" w:color="000000" tmln="20, 20, 20, 0, 0"/>
              <w:left w:val="single" w:sz="4" w:space="0" w:color="000000" tmln="10, 20, 20, 0, 0"/>
              <w:bottom w:val="nil" w:sz="0" w:space="0" w:color="000000" tmln="2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r>
          </w:p>
        </w:tc>
        <w:tc>
          <w:tcPr>
            <w:tcW w:w="1134" w:type="dxa"/>
            <w:shd w:val="none"/>
            <w:tcMar>
              <w:top w:w="0" w:type="dxa"/>
              <w:left w:w="108" w:type="dxa"/>
              <w:bottom w:w="0" w:type="dxa"/>
              <w:right w:w="108" w:type="dxa"/>
            </w:tcMar>
            <w:tcBorders>
              <w:top w:val="nil" w:sz="0" w:space="0" w:color="000000" tmln="20, 20, 20, 0, 0"/>
              <w:left w:val="single" w:sz="4" w:space="0" w:color="000000" tmln="10, 20, 20, 0, 0"/>
              <w:bottom w:val="nil" w:sz="0" w:space="0" w:color="000000" tmln="2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r>
          </w:p>
        </w:tc>
        <w:tc>
          <w:tcPr>
            <w:tcW w:w="1418" w:type="dxa"/>
            <w:shd w:val="none"/>
            <w:tcMar>
              <w:top w:w="0" w:type="dxa"/>
              <w:left w:w="108" w:type="dxa"/>
              <w:bottom w:w="0" w:type="dxa"/>
              <w:right w:w="108" w:type="dxa"/>
            </w:tcMar>
            <w:tcBorders>
              <w:top w:val="nil" w:sz="0" w:space="0" w:color="000000" tmln="20, 20, 20, 0, 0"/>
              <w:left w:val="single" w:sz="4" w:space="0" w:color="000000" tmln="10, 20, 20, 0, 0"/>
              <w:bottom w:val="nil" w:sz="0" w:space="0" w:color="000000" tmln="2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r>
          </w:p>
        </w:tc>
      </w:tr>
      <w:tr>
        <w:trPr>
          <w:tblHeader w:val="0"/>
          <w:cantSplit w:val="0"/>
          <w:trHeight w:val="0" w:hRule="auto"/>
        </w:trPr>
        <w:tc>
          <w:tcPr>
            <w:tcW w:w="534" w:type="dxa"/>
            <w:shd w:val="none"/>
            <w:tcMar>
              <w:top w:w="0" w:type="dxa"/>
              <w:left w:w="108" w:type="dxa"/>
              <w:bottom w:w="0" w:type="dxa"/>
              <w:right w:w="108" w:type="dxa"/>
            </w:tcMar>
            <w:tcBorders>
              <w:top w:val="nil" w:sz="0" w:space="0" w:color="000000" tmln="2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r>
          </w:p>
        </w:tc>
        <w:tc>
          <w:tcPr>
            <w:tcW w:w="708" w:type="dxa"/>
            <w:shd w:val="none"/>
            <w:tcMar>
              <w:top w:w="0" w:type="dxa"/>
              <w:left w:w="108" w:type="dxa"/>
              <w:bottom w:w="0" w:type="dxa"/>
              <w:right w:w="108" w:type="dxa"/>
            </w:tcMar>
            <w:tcBorders>
              <w:top w:val="nil" w:sz="0" w:space="0" w:color="000000" tmln="2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r>
          </w:p>
        </w:tc>
        <w:tc>
          <w:tcPr>
            <w:tcW w:w="3261" w:type="dxa"/>
            <w:vAlign w:val="bottom"/>
            <w:shd w:val="none"/>
            <w:tcMar>
              <w:top w:w="0" w:type="dxa"/>
              <w:left w:w="108" w:type="dxa"/>
              <w:bottom w:w="0" w:type="dxa"/>
              <w:right w:w="108" w:type="dxa"/>
            </w:tcMar>
            <w:tcBorders>
              <w:top w:val="nil" w:sz="0" w:space="0" w:color="000000" tmln="2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rPr>
                <w:sz w:val="19"/>
                <w:szCs w:val="19"/>
              </w:rPr>
            </w:pPr>
            <w:r>
              <w:rPr>
                <w:sz w:val="19"/>
                <w:szCs w:val="19"/>
              </w:rPr>
              <w:t xml:space="preserve">(altura) x 19,5 (largura) x 12cm (profundidade). </w:t>
            </w:r>
          </w:p>
        </w:tc>
        <w:tc>
          <w:tcPr>
            <w:tcW w:w="992" w:type="dxa"/>
            <w:shd w:val="none"/>
            <w:tcMar>
              <w:top w:w="0" w:type="dxa"/>
              <w:left w:w="108" w:type="dxa"/>
              <w:bottom w:w="0" w:type="dxa"/>
              <w:right w:w="108" w:type="dxa"/>
            </w:tcMar>
            <w:tcBorders>
              <w:top w:val="nil" w:sz="0" w:space="0" w:color="000000" tmln="2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r>
          </w:p>
        </w:tc>
        <w:tc>
          <w:tcPr>
            <w:tcW w:w="850" w:type="dxa"/>
            <w:shd w:val="none"/>
            <w:tcMar>
              <w:top w:w="0" w:type="dxa"/>
              <w:left w:w="108" w:type="dxa"/>
              <w:bottom w:w="0" w:type="dxa"/>
              <w:right w:w="108" w:type="dxa"/>
            </w:tcMar>
            <w:tcBorders>
              <w:top w:val="nil" w:sz="0" w:space="0" w:color="000000" tmln="2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r>
          </w:p>
        </w:tc>
        <w:tc>
          <w:tcPr>
            <w:tcW w:w="851" w:type="dxa"/>
            <w:shd w:val="none"/>
            <w:tcMar>
              <w:top w:w="0" w:type="dxa"/>
              <w:left w:w="108" w:type="dxa"/>
              <w:bottom w:w="0" w:type="dxa"/>
              <w:right w:w="108" w:type="dxa"/>
            </w:tcMar>
            <w:tcBorders>
              <w:top w:val="nil" w:sz="0" w:space="0" w:color="000000" tmln="2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r>
          </w:p>
        </w:tc>
        <w:tc>
          <w:tcPr>
            <w:tcW w:w="850" w:type="dxa"/>
            <w:shd w:val="none"/>
            <w:tcMar>
              <w:top w:w="0" w:type="dxa"/>
              <w:left w:w="108" w:type="dxa"/>
              <w:bottom w:w="0" w:type="dxa"/>
              <w:right w:w="108" w:type="dxa"/>
            </w:tcMar>
            <w:tcBorders>
              <w:top w:val="nil" w:sz="0" w:space="0" w:color="000000" tmln="2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r>
          </w:p>
        </w:tc>
        <w:tc>
          <w:tcPr>
            <w:tcW w:w="1134" w:type="dxa"/>
            <w:shd w:val="none"/>
            <w:tcMar>
              <w:top w:w="0" w:type="dxa"/>
              <w:left w:w="108" w:type="dxa"/>
              <w:bottom w:w="0" w:type="dxa"/>
              <w:right w:w="108" w:type="dxa"/>
            </w:tcMar>
            <w:tcBorders>
              <w:top w:val="nil" w:sz="0" w:space="0" w:color="000000" tmln="2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r>
          </w:p>
        </w:tc>
        <w:tc>
          <w:tcPr>
            <w:tcW w:w="1418" w:type="dxa"/>
            <w:shd w:val="none"/>
            <w:tcMar>
              <w:top w:w="0" w:type="dxa"/>
              <w:left w:w="108" w:type="dxa"/>
              <w:bottom w:w="0" w:type="dxa"/>
              <w:right w:w="108" w:type="dxa"/>
            </w:tcMar>
            <w:tcBorders>
              <w:top w:val="nil" w:sz="0" w:space="0" w:color="000000" tmln="2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45</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11257</w:t>
            </w:r>
          </w:p>
        </w:tc>
        <w:tc>
          <w:tcPr>
            <w:tcW w:w="3261" w:type="dxa"/>
            <w:vAlign w:val="bottom"/>
            <w:shd w:val="none"/>
            <w:tcMar>
              <w:top w:w="0" w:type="dxa"/>
              <w:left w:w="108" w:type="dxa"/>
              <w:bottom w:w="0" w:type="dxa"/>
              <w:right w:w="108" w:type="dxa"/>
            </w:tcMar>
            <w:tcBorders>
              <w:top w:val="nil" w:sz="0" w:space="0" w:color="000000" tmln="2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rPr>
                <w:sz w:val="19"/>
                <w:szCs w:val="19"/>
              </w:rPr>
            </w:pPr>
            <w:r>
              <w:rPr>
                <w:sz w:val="19"/>
                <w:szCs w:val="19"/>
              </w:rPr>
              <w:t>LIXEIRA SELETIVA PLÁSTICA RESISTENTE-</w:t>
            </w:r>
          </w:p>
          <w:p>
            <w:pPr>
              <w:rPr>
                <w:sz w:val="19"/>
                <w:szCs w:val="19"/>
              </w:rPr>
            </w:pPr>
            <w:r>
              <w:rPr>
                <w:sz w:val="19"/>
                <w:szCs w:val="19"/>
              </w:rPr>
              <w:t>Para separação dos lixos de forma adequada para reciclagem.- Nas Cores: Azul: Papel; Vermelho: Plástico; Verde: Vidro; Amarelo: Plástico.</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36</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Unid</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03</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03</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46</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6829</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CAIXA DE ISOPOR DE POLIESTIRENO EXPANDIDO – 100 LTS – espessura mínima 5cm.</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36</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Unid</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03</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03</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r>
      <w:tr>
        <w:trPr>
          <w:tblHeader w:val="0"/>
          <w:cantSplit w:val="0"/>
          <w:trHeight w:val="0" w:hRule="auto"/>
        </w:trPr>
        <w:tc>
          <w:tcPr>
            <w:tcW w:w="5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rPr>
                <w:sz w:val="20"/>
                <w:szCs w:val="20"/>
              </w:rPr>
            </w:pPr>
            <w:r>
              <w:rPr>
                <w:sz w:val="20"/>
                <w:szCs w:val="20"/>
              </w:rPr>
              <w:t>47</w:t>
            </w:r>
          </w:p>
        </w:tc>
        <w:tc>
          <w:tcPr>
            <w:tcW w:w="70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b/>
                <w:color w:val="000000"/>
                <w:sz w:val="20"/>
                <w:szCs w:val="20"/>
              </w:rPr>
            </w:pPr>
            <w:r>
              <w:rPr>
                <w:b/>
                <w:color w:val="000000"/>
                <w:sz w:val="20"/>
                <w:szCs w:val="20"/>
              </w:rPr>
              <w:t>11518</w:t>
            </w:r>
          </w:p>
        </w:tc>
        <w:tc>
          <w:tcPr>
            <w:tcW w:w="326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both"/>
              <w:rPr>
                <w:color w:val="000000"/>
                <w:sz w:val="20"/>
                <w:szCs w:val="20"/>
              </w:rPr>
            </w:pPr>
            <w:r>
              <w:rPr>
                <w:color w:val="000000"/>
                <w:sz w:val="20"/>
                <w:szCs w:val="20"/>
              </w:rPr>
              <w:t>Caixa de isopor de POLIESTIRENO EXPANDIDO- 50 LTS- ESPESSURA MINIMA SE 05 CMS</w:t>
            </w:r>
          </w:p>
        </w:tc>
        <w:tc>
          <w:tcPr>
            <w:tcW w:w="992"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36</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Unid</w:t>
            </w:r>
          </w:p>
        </w:tc>
        <w:tc>
          <w:tcPr>
            <w:tcW w:w="851"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03</w:t>
            </w:r>
          </w:p>
        </w:tc>
        <w:tc>
          <w:tcPr>
            <w:tcW w:w="850"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03</w:t>
            </w:r>
          </w:p>
        </w:tc>
        <w:tc>
          <w:tcPr>
            <w:tcW w:w="1134"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c>
          <w:tcPr>
            <w:tcW w:w="1418" w:type="dxa"/>
            <w:shd w:val="none"/>
            <w:tcMar>
              <w:top w:w="0" w:type="dxa"/>
              <w:left w:w="108" w:type="dxa"/>
              <w:bottom w:w="0" w:type="dxa"/>
              <w:right w:w="108" w:type="dxa"/>
            </w:tcMar>
            <w:tcBorders>
              <w:top w:val="single" w:sz="4" w:space="0" w:color="000000" tmln="10, 20, 20, 0, 0"/>
              <w:left w:val="single" w:sz="4" w:space="0" w:color="000000" tmln="10, 20, 20, 0, 0"/>
              <w:bottom w:val="single" w:sz="4" w:space="0" w:color="000000" tmln="10, 20, 20, 0, 0"/>
              <w:right w:val="single" w:sz="4" w:space="0" w:color="000000" tmln="10, 20, 20, 0, 0"/>
              <w:tl2br w:val="nil" w:sz="0" w:space="0" w:color="000000" tmln="20, 20, 20, 0, 0"/>
              <w:tr2bl w:val="nil" w:sz="0" w:space="0" w:color="000000" tmln="20, 20, 20, 0, 0"/>
            </w:tcBorders>
            <w:tmTcPr id="1566386002" protected="1"/>
          </w:tcPr>
          <w:p>
            <w:pPr>
              <w:spacing/>
              <w:jc w:val="center"/>
              <w:rPr>
                <w:sz w:val="20"/>
                <w:szCs w:val="20"/>
              </w:rPr>
            </w:pPr>
            <w:r>
              <w:rPr>
                <w:sz w:val="20"/>
                <w:szCs w:val="20"/>
              </w:rPr>
              <w:t>15</w:t>
            </w:r>
          </w:p>
        </w:tc>
      </w:tr>
    </w:tbl>
    <w:p>
      <w:pPr>
        <w:spacing/>
        <w:jc w:val="both"/>
        <w:rPr>
          <w:rFonts w:ascii="Arial" w:hAnsi="Arial" w:cs="Arial"/>
          <w:sz w:val="20"/>
          <w:szCs w:val="20"/>
        </w:rPr>
      </w:pPr>
      <w:r>
        <w:rPr>
          <w:rFonts w:ascii="Arial" w:hAnsi="Arial" w:cs="Arial"/>
          <w:sz w:val="20"/>
          <w:szCs w:val="20"/>
        </w:rPr>
      </w:r>
    </w:p>
    <w:p>
      <w:pPr>
        <w:spacing/>
        <w:jc w:val="both"/>
        <w:rPr>
          <w:rFonts w:ascii="Arial" w:hAnsi="Arial" w:cs="Arial"/>
          <w:sz w:val="20"/>
          <w:szCs w:val="20"/>
        </w:rPr>
      </w:pPr>
      <w:r>
        <w:rPr>
          <w:rFonts w:ascii="Arial" w:hAnsi="Arial" w:cs="Arial"/>
          <w:sz w:val="20"/>
          <w:szCs w:val="20"/>
        </w:rPr>
        <w:t>São Domingos do Norte/ES, 24 de Julho 2019.</w:t>
      </w:r>
    </w:p>
    <w:p>
      <w:pPr>
        <w:pStyle w:val="para2"/>
        <w:spacing/>
        <w:jc w:val="center"/>
        <w:rPr>
          <w:rFonts w:eastAsia="Arial Unicode MS"/>
          <w:b/>
        </w:rPr>
      </w:pPr>
      <w:r>
        <w:rPr>
          <w:rFonts w:eastAsia="Arial Unicode MS"/>
          <w:b/>
        </w:rPr>
      </w:r>
    </w:p>
    <w:p>
      <w:pPr>
        <w:pStyle w:val="para2"/>
        <w:spacing/>
        <w:jc w:val="center"/>
        <w:rPr>
          <w:rFonts w:eastAsia="Arial Unicode MS"/>
          <w:b/>
        </w:rPr>
      </w:pPr>
      <w:r>
        <w:rPr>
          <w:rFonts w:eastAsia="Arial Unicode MS"/>
          <w:b/>
        </w:rPr>
      </w:r>
    </w:p>
    <w:p>
      <w:pPr>
        <w:pStyle w:val="para2"/>
        <w:spacing/>
        <w:jc w:val="center"/>
        <w:rPr>
          <w:rFonts w:eastAsia="Arial Unicode MS"/>
          <w:b/>
        </w:rPr>
      </w:pPr>
      <w:r>
        <w:rPr>
          <w:rFonts w:eastAsia="Arial Unicode MS"/>
          <w:b/>
        </w:rPr>
      </w:r>
    </w:p>
    <w:p>
      <w:pPr>
        <w:pStyle w:val="para2"/>
        <w:spacing/>
        <w:jc w:val="center"/>
        <w:rPr>
          <w:rFonts w:eastAsia="Arial Unicode MS"/>
          <w:b/>
        </w:rPr>
      </w:pPr>
      <w:r>
        <w:rPr>
          <w:rFonts w:eastAsia="Arial Unicode MS"/>
          <w:b/>
        </w:rPr>
        <w:t>Secretária Municipal de Educação e Cultura</w:t>
      </w:r>
    </w:p>
    <w:p>
      <w:r>
        <w:t xml:space="preserve">                                                         </w:t>
      </w:r>
    </w:p>
    <w:p>
      <w:pPr>
        <w:rPr>
          <w:b/>
        </w:rPr>
      </w:pPr>
      <w:r>
        <w:rPr>
          <w:b/>
        </w:rPr>
      </w:r>
    </w:p>
    <w:p>
      <w:pPr>
        <w:rPr>
          <w:b/>
        </w:rPr>
      </w:pPr>
      <w:r>
        <w:rPr>
          <w:b/>
        </w:rPr>
        <w:t>Leoneide Barbosa da Silva</w:t>
      </w:r>
    </w:p>
    <w:p>
      <w:r/>
    </w:p>
    <w:p>
      <w:r/>
    </w:p>
    <w:p>
      <w:r/>
    </w:p>
    <w:p>
      <w:r/>
    </w:p>
    <w:p>
      <w:pPr>
        <w:spacing/>
        <w:jc w:val="both"/>
        <w:rPr>
          <w:rFonts w:ascii="Arial" w:hAnsi="Arial" w:cs="Arial"/>
        </w:rPr>
      </w:pPr>
      <w:r>
        <w:rPr>
          <w:rFonts w:ascii="Arial" w:hAnsi="Arial" w:cs="Arial"/>
        </w:rPr>
      </w:r>
    </w:p>
    <w:p>
      <w:pPr>
        <w:spacing/>
        <w:jc w:val="both"/>
        <w:rPr>
          <w:rFonts w:ascii="Arial" w:hAnsi="Arial" w:cs="Arial"/>
        </w:rPr>
      </w:pPr>
      <w:r>
        <w:rPr>
          <w:rFonts w:ascii="Arial" w:hAnsi="Arial" w:cs="Arial"/>
        </w:rPr>
      </w:r>
    </w:p>
    <w:p>
      <w:pPr>
        <w:spacing/>
        <w:jc w:val="both"/>
        <w:rPr>
          <w:rFonts w:ascii="Arial" w:hAnsi="Arial" w:cs="Arial"/>
        </w:rPr>
      </w:pPr>
      <w:r>
        <w:rPr>
          <w:rFonts w:ascii="Arial" w:hAnsi="Arial" w:cs="Arial"/>
        </w:rPr>
      </w:r>
    </w:p>
    <w:p>
      <w:pPr>
        <w:spacing/>
        <w:jc w:val="both"/>
        <w:rPr>
          <w:rFonts w:ascii="Arial" w:hAnsi="Arial" w:cs="Arial"/>
        </w:rPr>
      </w:pPr>
      <w:r>
        <w:rPr>
          <w:rFonts w:ascii="Arial" w:hAnsi="Arial" w:cs="Arial"/>
        </w:rPr>
      </w:r>
    </w:p>
    <w:p>
      <w:pPr>
        <w:spacing/>
        <w:jc w:val="both"/>
        <w:rPr>
          <w:rFonts w:ascii="Arial" w:hAnsi="Arial" w:cs="Arial"/>
        </w:rPr>
      </w:pPr>
      <w:r>
        <w:rPr>
          <w:rFonts w:ascii="Arial" w:hAnsi="Arial" w:cs="Arial"/>
        </w:rPr>
      </w:r>
    </w:p>
    <w:p>
      <w:pPr>
        <w:spacing/>
        <w:jc w:val="both"/>
        <w:rPr>
          <w:rFonts w:ascii="Arial" w:hAnsi="Arial" w:cs="Arial"/>
        </w:rPr>
      </w:pPr>
      <w:r>
        <w:rPr>
          <w:rFonts w:ascii="Arial" w:hAnsi="Arial" w:cs="Arial"/>
        </w:rPr>
      </w:r>
    </w:p>
    <w:sectPr>
      <w:footnotePr>
        <w:pos w:val="pageBottom"/>
        <w:numFmt w:val="decimal"/>
        <w:numStart w:val="1"/>
        <w:numRestart w:val="continuous"/>
      </w:footnotePr>
      <w:endnotePr>
        <w:pos w:val="docEnd"/>
        <w:numFmt w:val="decimal"/>
        <w:numStart w:val="1"/>
        <w:numRestart w:val="continuous"/>
      </w:endnotePr>
      <w:headerReference w:type="default" r:id="rId8"/>
      <w:footerReference w:type="default" r:id="rId9"/>
      <w:type w:val="nextPage"/>
      <w:pgSz w:h="16838" w:w="11906"/>
      <w:pgMar w:left="1134" w:top="1134" w:right="1134" w:bottom="1134" w:header="709" w:footer="709"/>
      <w:paperSrc w:first="7" w:other="7" a="0" b="0"/>
      <w:pgNumType w:fmt="decimal"/>
      <w:tmGutter w:val="3"/>
      <w:mirrorMargins w:val="0"/>
      <w:tmSection w:h="-2">
        <w:tmHeader w:id="0" w:h="0" edge="709" text="0">
          <w:shd w:val="none"/>
        </w:tmHeader>
        <w:tmFooter w:id="0" w:h="0" edge="709" text="0">
          <w:shd w:val="none"/>
        </w:tmFooter>
      </w:tmSection>
      <w:guidesAndGridMasterPages Id="0" numberOfVerticalGuides="0" numberOfHorizontalGuides="0"/>
      <w:guidesAndGridMasterPages Id="1" numberOfVerticalGuides="0" numberOfHorizontalGuides="0"/>
      <w:guidesAndGridMasterPages Id="2" numberOfVerticalGuides="0" numberOfHorizontalGuides="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default"/>
  </w:font>
  <w:font w:name="SimSun">
    <w:panose1 w:val="02010600030101010101"/>
    <w:charset w:val="00"/>
    <w:family w:val="auto"/>
    <w:pitch w:val="default"/>
  </w:font>
  <w:font w:name="Arial">
    <w:panose1 w:val="020B0604020202020204"/>
    <w:charset w:val="00"/>
    <w:family w:val="swiss"/>
    <w:pitch w:val="default"/>
  </w:font>
  <w:font w:name="Symbol">
    <w:panose1 w:val="05050102010706020507"/>
    <w:charset w:val="02"/>
    <w:family w:val="roman"/>
    <w:pitch w:val="default"/>
  </w:font>
  <w:font w:name="Calibri">
    <w:panose1 w:val="020F0502020204030204"/>
    <w:charset w:val="00"/>
    <w:family w:val="swiss"/>
    <w:pitch w:val="default"/>
  </w:font>
  <w:font w:name="Courier New">
    <w:panose1 w:val="02070309020205020404"/>
    <w:charset w:val="00"/>
    <w:family w:val="modern"/>
    <w:pitch w:val="default"/>
  </w:font>
  <w:font w:name="Wingdings">
    <w:panose1 w:val="05000000000000000000"/>
    <w:charset w:val="02"/>
    <w:family w:val="auto"/>
    <w:pitch w:val="default"/>
  </w:font>
  <w:font w:name="Arial Unicode MS">
    <w:panose1 w:val="020B0604020202020204"/>
    <w:charset w:val="00"/>
    <w:family w:val="swiss"/>
    <w:pitch w:val="default"/>
  </w:font>
  <w:font w:name="Bradley Hand ITC">
    <w:panose1 w:val="03070402050302030203"/>
    <w:charset w:val="00"/>
    <w:family w:val="script"/>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rPr>
        <w:b/>
        <w:sz w:val="20"/>
        <w:szCs w:val="20"/>
      </w:rPr>
    </w:pPr>
    <w:r>
      <w:rPr>
        <w:b/>
        <w:sz w:val="20"/>
        <w:szCs w:val="20"/>
      </w:rPr>
      <w:t>DEPARTAMENTO DE ESPORTES</w:t>
    </w:r>
  </w:p>
  <w:p>
    <w:pPr>
      <w:pStyle w:val="para3"/>
      <w:rPr>
        <w:lang w:val="en-us"/>
      </w:rPr>
    </w:pPr>
    <w:r>
      <w:rPr>
        <w:noProof/>
      </w:rPr>
      <w:drawing>
        <wp:anchor distT="0" distB="0" distL="114300" distR="114300" simplePos="0" relativeHeight="251659266" behindDoc="0" locked="0" layoutInCell="0" hidden="0" allowOverlap="1">
          <wp:simplePos x="0" y="0"/>
          <wp:positionH relativeFrom="column">
            <wp:posOffset>4051935</wp:posOffset>
          </wp:positionH>
          <wp:positionV relativeFrom="paragraph">
            <wp:posOffset>-116205</wp:posOffset>
          </wp:positionV>
          <wp:extent cx="1724025" cy="771525"/>
          <wp:effectExtent l="0" t="0" r="0" b="0"/>
          <wp:wrapSquare wrapText="bothSides"/>
          <wp:docPr id="1026" name="Imagem2"/>
          <wp:cNvGraphicFramePr/>
          <a:graphic xmlns:a="http://schemas.openxmlformats.org/drawingml/2006/main">
            <a:graphicData uri="http://schemas.openxmlformats.org/drawingml/2006/picture">
              <pic:pic xmlns:pic="http://schemas.openxmlformats.org/drawingml/2006/picture">
                <pic:nvPicPr>
                  <pic:cNvPr id="1026" name="Imagem2"/>
                  <pic:cNvPicPr>
                    <a:extLst>
                      <a:ext uri="smNativeData">
                        <sm:smNativeData xmlns:sm="smNativeData" val="SMDATA_17_UiddXRMAAAAlAAAAEQAAAA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"/>
                      </a:ext>
                    </a:extLst>
                  </pic:cNvPicPr>
                </pic:nvPicPr>
                <pic:blipFill>
                  <a:blip r:embed="rId1"/>
                  <a:stretch>
                    <a:fillRect/>
                  </a:stretch>
                </pic:blipFill>
                <pic:spPr>
                  <a:xfrm>
                    <a:off x="0" y="0"/>
                    <a:ext cx="1724025" cy="771525"/>
                  </a:xfrm>
                  <a:prstGeom prst="rect">
                    <a:avLst/>
                  </a:prstGeom>
                  <a:noFill/>
                  <a:ln w="12700">
                    <a:noFill/>
                  </a:ln>
                </pic:spPr>
              </pic:pic>
            </a:graphicData>
          </a:graphic>
        </wp:anchor>
      </w:drawing>
    </w:r>
    <w:r>
      <w:rPr>
        <w:b/>
        <w:sz w:val="20"/>
        <w:szCs w:val="20"/>
        <w:lang w:val="en-us"/>
      </w:rPr>
      <w:t xml:space="preserve">Email: </w:t>
    </w:r>
    <w:hyperlink r:id="rId2" w:history="1">
      <w:r>
        <w:rPr>
          <w:rStyle w:val="char4"/>
          <w:b/>
          <w:sz w:val="20"/>
          <w:szCs w:val="20"/>
          <w:lang w:val="en-us"/>
        </w:rPr>
        <w:t>departamentodeesportesdn@hotmail</w:t>
      </w:r>
      <w:r>
        <w:rPr>
          <w:rStyle w:val="char4"/>
          <w:lang w:val="en-us"/>
        </w:rPr>
        <w:t>,com</w:t>
      </w:r>
    </w:hyperlink>
  </w:p>
  <w:p>
    <w:pPr>
      <w:pStyle w:val="para3"/>
      <w:rPr>
        <w:lang w:val="en-us"/>
      </w:rPr>
    </w:pPr>
    <w:r>
      <w:rPr>
        <w:lang w:val="en-us"/>
      </w:rPr>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para1"/>
      <w:tabs defTabSz="708">
        <w:tab w:val="left" w:pos="1245" w:leader="none"/>
        <w:tab w:val="center" w:pos="4712" w:leader="none"/>
      </w:tabs>
      <w:rPr>
        <w:szCs w:val="24"/>
      </w:rPr>
    </w:pPr>
    <w:r>
      <w:rPr>
        <w:noProof/>
      </w:rPr>
      <w:drawing>
        <wp:anchor distT="0" distB="0" distL="114300" distR="114300" simplePos="0" relativeHeight="251659265" behindDoc="0" locked="0" layoutInCell="0" hidden="0" allowOverlap="1">
          <wp:simplePos x="0" y="0"/>
          <wp:positionH relativeFrom="column">
            <wp:posOffset>2880360</wp:posOffset>
          </wp:positionH>
          <wp:positionV relativeFrom="paragraph">
            <wp:posOffset>-326390</wp:posOffset>
          </wp:positionV>
          <wp:extent cx="742950" cy="600075"/>
          <wp:effectExtent l="0" t="0" r="0" b="0"/>
          <wp:wrapNone/>
          <wp:docPr id="1025" name="Imagem3"/>
          <wp:cNvGraphicFramePr/>
          <a:graphic xmlns:a="http://schemas.openxmlformats.org/drawingml/2006/main">
            <a:graphicData uri="http://schemas.openxmlformats.org/drawingml/2006/picture">
              <pic:pic xmlns:pic="http://schemas.openxmlformats.org/drawingml/2006/picture">
                <pic:nvPicPr>
                  <pic:cNvPr id="1025" name="Imagem3"/>
                  <pic:cNvPicPr>
                    <a:extLst>
                      <a:ext uri="smNativeData">
                        <sm:smNativeData xmlns:sm="smNativeData" val="SMDATA_17_UiddXRMAAAAlAAAAEQAAAA0AAAAAkAAAAEgAAACQAAAASAAAAAAAAAAAAAAAAAAAAAEAAABQAAAAAAAAAAAA4D8AAAAAAADgPwAAAAAAAOA/AAAAAAAA4D8AAAAAAADgPwAAAAAAAOA/AAAAAAAA4D8AAAAAAADgPwAAAAAAAOA/AAAAAAAA4D8CAAAAjAAAAAE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"/>
                      </a:ext>
                    </a:extLst>
                  </pic:cNvPicPr>
                </pic:nvPicPr>
                <pic:blipFill>
                  <a:blip r:embed="rId1"/>
                  <a:stretch>
                    <a:fillRect/>
                  </a:stretch>
                </pic:blipFill>
                <pic:spPr>
                  <a:xfrm>
                    <a:off x="0" y="0"/>
                    <a:ext cx="742950" cy="600075"/>
                  </a:xfrm>
                  <a:prstGeom prst="rect">
                    <a:avLst/>
                  </a:prstGeom>
                  <a:solidFill>
                    <a:srgbClr val="FFFFFF"/>
                  </a:solidFill>
                  <a:ln w="12700">
                    <a:noFill/>
                  </a:ln>
                </pic:spPr>
              </pic:pic>
            </a:graphicData>
          </a:graphic>
        </wp:anchor>
      </w:drawing>
    </w:r>
    <w:r>
      <w:rPr>
        <w:szCs w:val="24"/>
      </w:rPr>
    </w:r>
  </w:p>
  <w:p>
    <w:pPr>
      <w:pStyle w:val="para1"/>
      <w:spacing/>
      <w:jc w:val="center"/>
      <w:tabs defTabSz="708">
        <w:tab w:val="left" w:pos="1245" w:leader="none"/>
        <w:tab w:val="center" w:pos="4712" w:leader="none"/>
      </w:tabs>
      <w:rPr>
        <w:szCs w:val="24"/>
      </w:rPr>
    </w:pPr>
    <w:r>
      <w:rPr>
        <w:szCs w:val="24"/>
      </w:rPr>
    </w:r>
  </w:p>
  <w:p>
    <w:pPr>
      <w:pStyle w:val="para1"/>
      <w:spacing/>
      <w:jc w:val="center"/>
      <w:tabs defTabSz="708">
        <w:tab w:val="left" w:pos="1245" w:leader="none"/>
        <w:tab w:val="center" w:pos="4712" w:leader="none"/>
      </w:tabs>
      <w:rPr>
        <w:szCs w:val="24"/>
      </w:rPr>
    </w:pPr>
    <w:r>
      <w:rPr>
        <w:szCs w:val="24"/>
      </w:rPr>
      <w:t>PREFEITURA MUNICIPAL DE SÃO DOMINGOS DO NORTE</w:t>
    </w:r>
  </w:p>
  <w:p>
    <w:pPr>
      <w:spacing/>
      <w:jc w:val="center"/>
      <w:rPr>
        <w:sz w:val="16"/>
        <w:szCs w:val="16"/>
      </w:rPr>
    </w:pPr>
    <w:r>
      <w:rPr>
        <w:sz w:val="16"/>
        <w:szCs w:val="16"/>
      </w:rPr>
      <w:t>Rod. Gether Lopes de Farias, s/nº - Bairro Emílio Callegari São Domingos do Norte - ES - CEP 29745-000</w:t>
    </w:r>
  </w:p>
  <w:p>
    <w:pPr>
      <w:spacing/>
      <w:jc w:val="center"/>
      <w:rPr>
        <w:b/>
        <w:sz w:val="20"/>
        <w:szCs w:val="20"/>
      </w:rPr>
    </w:pPr>
    <w:r>
      <w:rPr>
        <w:sz w:val="16"/>
        <w:szCs w:val="16"/>
      </w:rPr>
      <w:t xml:space="preserve">CNPJ 36.350.312/0001-72 - Telefax: (027) 3742 0200 </w:t>
    </w:r>
    <w:r>
      <w:rPr>
        <w:b/>
        <w:sz w:val="20"/>
        <w:szCs w:val="20"/>
      </w:rPr>
    </w:r>
  </w:p>
  <w:p>
    <w:pPr>
      <w:spacing/>
      <w:jc w:val="center"/>
      <w:rPr>
        <w:b/>
        <w:sz w:val="20"/>
        <w:szCs w:val="20"/>
      </w:rPr>
    </w:pPr>
    <w:r>
      <w:rPr>
        <w:b/>
        <w:sz w:val="20"/>
        <w:szCs w:val="20"/>
      </w:rPr>
      <w:t>SECRETARIA DE EDUCAÇÃO E CULTURA</w:t>
    </w:r>
  </w:p>
  <w:p>
    <w:pPr>
      <w:spacing/>
      <w:jc w:val="center"/>
    </w:pPr>
    <w:r>
      <w:rPr>
        <w:rFonts w:ascii="Bradley Hand ITC" w:hAnsi="Bradley Hand ITC" w:cs="Bradley Hand ITC"/>
        <w:b/>
      </w:rPr>
      <w:t>“EDUCAÇÃO A SERVIÇO DA LIBERDADE”</w:t>
    </w:r>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multiLevelType w:val="hybridMultilevel"/>
    <w:tmNoNumList/>
    <w:lvl w:ilvl="0">
      <w:numFmt w:val="none"/>
      <w:lvlText w:val=""/>
      <w:lvlJc w:val="left"/>
      <w:pPr>
        <w:tabs>
          <w:tab w:val="num" w:pos="360"/>
        </w:tabs>
        <w:ind w:left="360" w:hanging="360"/>
      </w:pPr>
    </w:lvl>
    <w:lvl w:ilvl="1">
      <w:numFmt w:val="none"/>
      <w:lvlText w:val=""/>
      <w:lvlJc w:val="left"/>
      <w:pPr>
        <w:tabs>
          <w:tab w:val="num" w:pos="360"/>
        </w:tabs>
        <w:ind w:left="360" w:hanging="360"/>
      </w:pPr>
    </w:lvl>
    <w:lvl w:ilvl="2">
      <w:numFmt w:val="none"/>
      <w:lvlText w:val=""/>
      <w:lvlJc w:val="left"/>
      <w:pPr>
        <w:tabs>
          <w:tab w:val="num" w:pos="360"/>
        </w:tabs>
        <w:ind w:left="360" w:hanging="360"/>
      </w:pPr>
    </w:lvl>
    <w:lvl w:ilvl="3">
      <w:numFmt w:val="none"/>
      <w:lvlText w:val=""/>
      <w:lvlJc w:val="left"/>
      <w:pPr>
        <w:tabs>
          <w:tab w:val="num" w:pos="360"/>
        </w:tabs>
        <w:ind w:left="360" w:hanging="360"/>
      </w:pPr>
    </w:lvl>
    <w:lvl w:ilvl="4">
      <w:numFmt w:val="none"/>
      <w:lvlText w:val=""/>
      <w:lvlJc w:val="left"/>
      <w:pPr>
        <w:tabs>
          <w:tab w:val="num" w:pos="360"/>
        </w:tabs>
        <w:ind w:left="360" w:hanging="360"/>
      </w:pPr>
    </w:lvl>
    <w:lvl w:ilvl="5">
      <w:numFmt w:val="none"/>
      <w:lvlText w:val=""/>
      <w:lvlJc w:val="left"/>
      <w:pPr>
        <w:tabs>
          <w:tab w:val="num" w:pos="360"/>
        </w:tabs>
        <w:ind w:left="360" w:hanging="360"/>
      </w:pPr>
    </w:lvl>
    <w:lvl w:ilvl="6">
      <w:numFmt w:val="none"/>
      <w:lvlText w:val=""/>
      <w:lvlJc w:val="left"/>
      <w:pPr>
        <w:tabs>
          <w:tab w:val="num" w:pos="360"/>
        </w:tabs>
        <w:ind w:left="360" w:hanging="360"/>
      </w:pPr>
    </w:lvl>
    <w:lvl w:ilvl="7">
      <w:numFmt w:val="none"/>
      <w:lvlText w:val=""/>
      <w:lvlJc w:val="left"/>
      <w:pPr>
        <w:tabs>
          <w:tab w:val="num" w:pos="360"/>
        </w:tabs>
        <w:ind w:left="360" w:hanging="360"/>
      </w:pPr>
    </w:lvl>
    <w:lvl w:ilvl="8">
      <w:numFmt w:val="none"/>
      <w:lvlText w:val=""/>
      <w:lvlJc w:val="left"/>
      <w:pPr>
        <w:tabs>
          <w:tab w:val="num" w:pos="360"/>
        </w:tabs>
        <w:ind w:left="360" w:hanging="360"/>
      </w:pPr>
    </w:lvl>
  </w:abstractNum>
  <w:abstractNum w:abstractNumId="1">
    <w:multiLevelType w:val="hybridMultilevel"/>
    <w:name w:val="Lista numerada 1"/>
    <w:lvl w:ilvl="0">
      <w:numFmt w:val="bullet"/>
      <w:suff w:val="tab"/>
      <w:lvlText w:val=""/>
      <w:lvlJc w:val="left"/>
      <w:pPr>
        <w:ind w:left="360" w:hanging="0"/>
      </w:pPr>
      <w:rPr>
        <w:rFonts w:ascii="Symbol" w:hAnsi="Symbol" w:eastAsia="Calibri" w:cs="Symbol"/>
      </w:rPr>
    </w:lvl>
    <w:lvl w:ilvl="1">
      <w:numFmt w:val="bullet"/>
      <w:suff w:val="tab"/>
      <w:lvlText w:val="o"/>
      <w:lvlJc w:val="left"/>
      <w:pPr>
        <w:ind w:left="1080" w:hanging="0"/>
      </w:pPr>
      <w:rPr>
        <w:rFonts w:ascii="Courier New" w:hAnsi="Courier New" w:eastAsia="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eastAsia="Symbol" w:cs="Symbol"/>
      </w:rPr>
    </w:lvl>
    <w:lvl w:ilvl="4">
      <w:numFmt w:val="bullet"/>
      <w:suff w:val="tab"/>
      <w:lvlText w:val="o"/>
      <w:lvlJc w:val="left"/>
      <w:pPr>
        <w:ind w:left="3240" w:hanging="0"/>
      </w:pPr>
      <w:rPr>
        <w:rFonts w:ascii="Courier New" w:hAnsi="Courier New" w:eastAsia="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eastAsia="Symbol" w:cs="Symbol"/>
      </w:rPr>
    </w:lvl>
    <w:lvl w:ilvl="7">
      <w:numFmt w:val="bullet"/>
      <w:suff w:val="tab"/>
      <w:lvlText w:val="o"/>
      <w:lvlJc w:val="left"/>
      <w:pPr>
        <w:ind w:left="5400" w:hanging="0"/>
      </w:pPr>
      <w:rPr>
        <w:rFonts w:ascii="Courier New" w:hAnsi="Courier New" w:eastAsia="Courier New" w:cs="Courier New"/>
      </w:rPr>
    </w:lvl>
    <w:lvl w:ilvl="8">
      <w:numFmt w:val="bullet"/>
      <w:suff w:val="tab"/>
      <w:lvlText w:val=""/>
      <w:lvlJc w:val="left"/>
      <w:pPr>
        <w:ind w:left="6120" w:hanging="0"/>
      </w:pPr>
      <w:rPr>
        <w:rFonts w:ascii="Wingdings" w:hAnsi="Wingdings" w:eastAsia="Wingdings" w:cs="Wingding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view w:val="print"/>
  <w:defaultTabStop w:val="708"/>
  <w:autoHyphenation w:val="0"/>
  <w:doNotShadeFormData w:val="0"/>
  <w:captions>
    <w:caption w:name="Tabela" w:pos="below" w:numFmt="decimal"/>
    <w:caption w:name="Figura" w:pos="below" w:numFmt="decimal"/>
    <w:caption w:name="Imagem" w:pos="below" w:numFmt="decimal"/>
  </w:captions>
  <w:drawingGridHorizontalSpacing w:val="283"/>
  <w:drawingGridVerticalSpacing w:val="283"/>
  <w:revisionView w:comments="1" w:markup="1" w:insDel="1" w:formatting="1"/>
  <w:footnotePr>
    <w:pos w:val="pageBottom"/>
    <w:numFmt w:val="decimal"/>
    <w:numStart w:val="1"/>
    <w:numRestart w:val="continuous"/>
  </w:footnotePr>
  <w:endnotePr>
    <w:pos w:val="docEnd"/>
    <w:numFmt w:val="decimal"/>
    <w:numStart w:val="1"/>
    <w:numRestart w:val="continuous"/>
  </w:endnotePr>
  <w:compat/>
  <w:shapeDefaults>
    <o:shapedefaults v:ext="edit" spidmax="3073"/>
    <o:shapelayout v:ext="edit">
      <o:rules v:ext="edit"/>
    </o:shapelayout>
  </w:shapeDefaults>
  <w:tmPrefOne w:val="17"/>
  <w:tmPrefTwo w:val="1"/>
  <w:tmFmtPref w:val="189283691"/>
  <w:tmCommentsPr>
    <w:tmCommentsPlace w:val="0"/>
    <w:tmCommentsWidth w:val="3119"/>
    <w:tmCommentsColor w:val="-1"/>
  </w:tmCommentsPr>
  <w:tmReviewPr>
    <w:tmReviewEnabled w:val="0"/>
    <w:tmReviewShow w:val="1"/>
    <w:tmReviewPrint w:val="1"/>
    <w:tmRevisionNum w:val="9"/>
    <w:tmReviewMarkIns w:val="4"/>
    <w:tmReviewColorIns w:val="-1"/>
    <w:tmReviewMarkDel w:val="6"/>
    <w:tmReviewColorDel w:val="-1"/>
    <w:tmReviewMarkFmt w:val="1"/>
    <w:tmReviewColorFmt w:val="-1"/>
    <w:tmReviewMarkLn w:val="1"/>
    <w:tmReviewColorLn w:val="0"/>
    <w:tmReviewToolTip w:val="1"/>
  </w:tmReviewPr>
  <w:tmLastPos>
    <w:tmLastPosPage w:val="13"/>
    <w:tmLastPosSelect w:val="0"/>
    <w:tmLastPosFrameIdx w:val="0"/>
    <w:tmLastPosCaret>
      <w:tmLastPosPgfIdx w:val="194"/>
      <w:tmLastPosIdx w:val="0"/>
    </w:tmLastPosCaret>
    <w:tmLastPosAnchor>
      <w:tmLastPosPgfIdx w:val="0"/>
      <w:tmLastPosIdx w:val="0"/>
    </w:tmLastPosAnchor>
    <w:tmLastPosTblRect w:left="0" w:top="0" w:right="0" w:bottom="0"/>
  </w:tmLastPos>
  <w:tmAppRevision w:date="1566386002" w:val="966" w:fileVer="342" w:fileVerOS="4"/>
  <w:guidesAndGrid showGuides="1" lockGuides="0" snapToGuides="1" snapToPageMargins="0" tolerance="8" gridDistanceHorizontal="283" gridDistanceVertical="283" showGrid="0" snapToGrid="0"/>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hAnsi="Times New Roman" w:eastAsia="Times New Roman" w:cs="Times New Roman"/>
        <w:sz w:val="20"/>
        <w:szCs w:val="20"/>
        <w:noProof w:val="1"/>
      </w:rPr>
    </w:rPrDefault>
    <w:pPrDefault>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rPr>
      <w:sz w:val="24"/>
      <w:szCs w:val="24"/>
      <w:lang w:val="pt-br" w:eastAsia="pt-br" w:bidi="ar-sa"/>
    </w:rPr>
  </w:style>
  <w:style w:type="paragraph" w:styleId="para1">
    <w:name w:val="heading 3"/>
    <w:qFormat/>
    <w:basedOn w:val="para0"/>
    <w:next w:val="para0"/>
    <w:pPr>
      <w:spacing/>
      <w:jc w:val="both"/>
      <w:keepNext/>
      <w:outlineLvl w:val="2"/>
    </w:pPr>
    <w:rPr>
      <w:b/>
      <w:szCs w:val="20"/>
    </w:rPr>
  </w:style>
  <w:style w:type="paragraph" w:styleId="para2">
    <w:name w:val="Header"/>
    <w:qFormat/>
    <w:basedOn w:val="para0"/>
    <w:pPr>
      <w:tabs defTabSz="708">
        <w:tab w:val="center" w:pos="4252" w:leader="none"/>
        <w:tab w:val="right" w:pos="8504" w:leader="none"/>
      </w:tabs>
    </w:pPr>
  </w:style>
  <w:style w:type="paragraph" w:styleId="para3">
    <w:name w:val="Footer"/>
    <w:qFormat/>
    <w:basedOn w:val="para0"/>
    <w:pPr>
      <w:tabs defTabSz="708">
        <w:tab w:val="center" w:pos="4252" w:leader="none"/>
        <w:tab w:val="right" w:pos="8504" w:leader="none"/>
      </w:tabs>
    </w:pPr>
  </w:style>
  <w:style w:type="paragraph" w:styleId="para4">
    <w:name w:val="Normal (Web)"/>
    <w:qFormat/>
    <w:basedOn w:val="para0"/>
    <w:pPr>
      <w:spacing w:before="100" w:after="100" w:beforeAutospacing="1" w:afterAutospacing="1"/>
    </w:pPr>
  </w:style>
  <w:style w:type="character" w:styleId="char0" w:default="1">
    <w:name w:val="Default Paragraph Font"/>
    <w:basedOn w:val="char0"/>
  </w:style>
  <w:style w:type="character" w:styleId="char1" w:customStyle="1">
    <w:name w:val="Cabeçalho Char"/>
    <w:rPr>
      <w:sz w:val="24"/>
      <w:szCs w:val="24"/>
    </w:rPr>
  </w:style>
  <w:style w:type="character" w:styleId="char2" w:customStyle="1">
    <w:name w:val="Rodapé Char"/>
    <w:rPr>
      <w:sz w:val="24"/>
      <w:szCs w:val="24"/>
    </w:rPr>
  </w:style>
  <w:style w:type="character" w:styleId="char3" w:customStyle="1">
    <w:name w:val="Título 3 Char"/>
    <w:rPr>
      <w:b/>
      <w:sz w:val="24"/>
    </w:rPr>
  </w:style>
  <w:style w:type="character" w:styleId="char4">
    <w:name w:val="Hyperlink"/>
    <w:rPr>
      <w:color w:val="0000ff"/>
      <w:u w:color="auto" w:val="single"/>
    </w:rPr>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hAnsi="Times New Roman" w:eastAsia="Times New Roman" w:cs="Times New Roman"/>
        <w:sz w:val="20"/>
        <w:szCs w:val="20"/>
        <w:noProof w:val="1"/>
      </w:rPr>
    </w:rPrDefault>
    <w:pPrDefault>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rPr>
      <w:sz w:val="24"/>
      <w:szCs w:val="24"/>
      <w:lang w:val="pt-br" w:eastAsia="pt-br" w:bidi="ar-sa"/>
    </w:rPr>
  </w:style>
  <w:style w:type="paragraph" w:styleId="para1">
    <w:name w:val="heading 3"/>
    <w:qFormat/>
    <w:basedOn w:val="para0"/>
    <w:next w:val="para0"/>
    <w:pPr>
      <w:spacing/>
      <w:jc w:val="both"/>
      <w:keepNext/>
      <w:outlineLvl w:val="2"/>
    </w:pPr>
    <w:rPr>
      <w:b/>
      <w:szCs w:val="20"/>
    </w:rPr>
  </w:style>
  <w:style w:type="paragraph" w:styleId="para2">
    <w:name w:val="Header"/>
    <w:qFormat/>
    <w:basedOn w:val="para0"/>
    <w:pPr>
      <w:tabs defTabSz="708">
        <w:tab w:val="center" w:pos="4252" w:leader="none"/>
        <w:tab w:val="right" w:pos="8504" w:leader="none"/>
      </w:tabs>
    </w:pPr>
  </w:style>
  <w:style w:type="paragraph" w:styleId="para3">
    <w:name w:val="Footer"/>
    <w:qFormat/>
    <w:basedOn w:val="para0"/>
    <w:pPr>
      <w:tabs defTabSz="708">
        <w:tab w:val="center" w:pos="4252" w:leader="none"/>
        <w:tab w:val="right" w:pos="8504" w:leader="none"/>
      </w:tabs>
    </w:pPr>
  </w:style>
  <w:style w:type="paragraph" w:styleId="para4">
    <w:name w:val="Normal (Web)"/>
    <w:qFormat/>
    <w:basedOn w:val="para0"/>
    <w:pPr>
      <w:spacing w:before="100" w:after="100" w:beforeAutospacing="1" w:afterAutospacing="1"/>
    </w:pPr>
  </w:style>
  <w:style w:type="character" w:styleId="char0" w:default="1">
    <w:name w:val="Default Paragraph Font"/>
    <w:basedOn w:val="char0"/>
  </w:style>
  <w:style w:type="character" w:styleId="char1" w:customStyle="1">
    <w:name w:val="Cabeçalho Char"/>
    <w:rPr>
      <w:sz w:val="24"/>
      <w:szCs w:val="24"/>
    </w:rPr>
  </w:style>
  <w:style w:type="character" w:styleId="char2" w:customStyle="1">
    <w:name w:val="Rodapé Char"/>
    <w:rPr>
      <w:sz w:val="24"/>
      <w:szCs w:val="24"/>
    </w:rPr>
  </w:style>
  <w:style w:type="character" w:styleId="char3" w:customStyle="1">
    <w:name w:val="Título 3 Char"/>
    <w:rPr>
      <w:b/>
      <w:sz w:val="24"/>
    </w:rPr>
  </w:style>
  <w:style w:type="character" w:styleId="char4">
    <w:name w:val="Hyperlink"/>
    <w:rPr>
      <w:color w:val="0000ff"/>
      <w:u w:color="auto" w:val="single"/>
    </w:rPr>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
<Relationships xmlns="http://schemas.openxmlformats.org/package/2006/relationships"><Relationship Id="rId1" Type="http://schemas.openxmlformats.org/officeDocument/2006/relationships/webSettings" Target="webSettings.xml"/><Relationship Id="rId2" Type="http://schemas.openxmlformats.org/officeDocument/2006/relationships/settings" Target="settings.xml"/><Relationship Id="rId3" Type="http://schemas.openxmlformats.org/officeDocument/2006/relationships/theme" Target="theme/theme1.xml"/><Relationship Id="rId4" Type="http://schemas.openxmlformats.org/officeDocument/2006/relationships/fontTable" Target="fontTable.xml"/><Relationship Id="rId5" Type="http://schemas.openxmlformats.org/officeDocument/2006/relationships/numbering" Target="numbering.xml"/><Relationship Id="rId6" Type="http://schemas.openxmlformats.org/officeDocument/2006/relationships/styles" Target="styles.xml"/><Relationship Id="rId7" Type="http://schemas.microsoft.com/office/2007/relationships/stylesWithEffects" Target="stylesWithEffects.xml"/><Relationship Id="rId8" Type="http://schemas.openxmlformats.org/officeDocument/2006/relationships/header" Target="header1.xml"/><Relationship Id="rId9" Type="http://schemas.openxmlformats.org/officeDocument/2006/relationships/footer" Target="footer1.xml"/></Relationships>
</file>

<file path=word/_rels/footer1.xml.rels><?xml version="1.0" encoding="UTF-8" standalone="yes" ?>
<Relationships xmlns="http://schemas.openxmlformats.org/package/2006/relationships"><Relationship Id="rId1" Type="http://schemas.openxmlformats.org/officeDocument/2006/relationships/image" Target="media/image2.jpeg"/><Relationship Id="rId2" Type="http://schemas.openxmlformats.org/officeDocument/2006/relationships/hyperlink" Target="mailto:sabadini.sgt@hotmail%08,com" TargetMode="External"/></Relationships>
</file>

<file path=word/_rels/header1.xml.rels><?xml version="1.0" encoding="UTF-8" standalone="yes" ?>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Times New Roman"/>
        <a:ea typeface="Times New Roman"/>
        <a:cs typeface="Times New Roman"/>
      </a:majorFont>
      <a:minorFont>
        <a:latin typeface="Times New Roman"/>
        <a:ea typeface="Times New Roman"/>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Application>TextMaker free rev.966</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ESTIMATIVAS DE GASTO MATERIAL DIDATICO</dc:title>
  <dc:subject/>
  <dc:creator>Cliente</dc:creator>
  <cp:keywords/>
  <dc:description/>
  <cp:lastModifiedBy/>
  <cp:revision>9</cp:revision>
  <cp:lastPrinted>2019-08-21T11:15:24Z</cp:lastPrinted>
  <dcterms:created xsi:type="dcterms:W3CDTF">2019-08-14T11:20:00Z</dcterms:created>
  <dcterms:modified xsi:type="dcterms:W3CDTF">2019-08-21T11:13:22Z</dcterms:modified>
</cp:coreProperties>
</file>