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para1"/>
        <w:spacing w:before="0"/>
        <w:jc w:val="center"/>
        <w:rPr>
          <w:b w:val="0"/>
          <w:color w:val="000000"/>
          <w:spacing w:val="-3"/>
          <w:sz w:val="22"/>
          <w:szCs w:val="22"/>
        </w:rPr>
      </w:pPr>
      <w:r>
        <w:rPr>
          <w:b w:val="0"/>
          <w:color w:val="000000"/>
          <w:spacing w:val="-3"/>
          <w:sz w:val="22"/>
          <w:szCs w:val="22"/>
        </w:rPr>
      </w:r>
    </w:p>
    <w:p>
      <w:pPr>
        <w:pStyle w:val="para1"/>
        <w:spacing w:before="0"/>
        <w:jc w:val="center"/>
        <w:rPr>
          <w:b w:val="0"/>
          <w:color w:val="000000"/>
          <w:spacing w:val="-3"/>
          <w:sz w:val="22"/>
          <w:szCs w:val="22"/>
        </w:rPr>
      </w:pPr>
      <w:r>
        <w:rPr>
          <w:b w:val="0"/>
          <w:color w:val="000000"/>
          <w:spacing w:val="-3"/>
          <w:sz w:val="22"/>
          <w:szCs w:val="22"/>
        </w:rPr>
      </w:r>
    </w:p>
    <w:p>
      <w:pPr>
        <w:pStyle w:val="para1"/>
        <w:spacing w:before="0"/>
        <w:jc w:val="center"/>
        <w:rPr>
          <w:b w:val="0"/>
          <w:color w:val="000000"/>
          <w:spacing w:val="-3"/>
          <w:sz w:val="22"/>
          <w:szCs w:val="22"/>
        </w:rPr>
      </w:pPr>
      <w:r>
        <w:rPr>
          <w:b w:val="0"/>
          <w:color w:val="000000"/>
          <w:spacing w:val="-3"/>
          <w:sz w:val="22"/>
          <w:szCs w:val="22"/>
        </w:rPr>
      </w:r>
    </w:p>
    <w:p>
      <w:pPr>
        <w:pStyle w:val="para1"/>
        <w:spacing w:before="0"/>
        <w:jc w:val="center"/>
        <w:rPr>
          <w:b w:val="0"/>
          <w:color w:val="000000"/>
          <w:spacing w:val="-3"/>
          <w:sz w:val="22"/>
          <w:szCs w:val="22"/>
        </w:rPr>
      </w:pPr>
      <w:r>
        <w:rPr>
          <w:b w:val="0"/>
          <w:color w:val="000000"/>
          <w:spacing w:val="-3"/>
          <w:sz w:val="22"/>
          <w:szCs w:val="22"/>
        </w:rPr>
        <w:t>COMISSÃO PERMANENTE DE PREGÃO – CPP/PMSDN</w:t>
      </w:r>
    </w:p>
    <w:p>
      <w:pPr>
        <w:spacing w:before="0"/>
        <w:rPr>
          <w:color w:val="000000"/>
          <w:sz w:val="22"/>
          <w:szCs w:val="22"/>
        </w:rPr>
      </w:pPr>
      <w:r>
        <w:rPr>
          <w:color w:val="000000"/>
          <w:sz w:val="22"/>
          <w:szCs w:val="22"/>
        </w:rPr>
      </w:r>
    </w:p>
    <w:p>
      <w:pPr>
        <w:pStyle w:val="para5"/>
        <w:spacing w:before="0"/>
        <w:jc w:val="center"/>
        <w:rPr>
          <w:b/>
          <w:color w:val="000000"/>
          <w:spacing w:val="-3"/>
          <w:sz w:val="22"/>
          <w:szCs w:val="22"/>
        </w:rPr>
      </w:pPr>
      <w:r>
        <w:rPr>
          <w:b/>
          <w:color w:val="000000"/>
          <w:spacing w:val="-3"/>
          <w:sz w:val="22"/>
          <w:szCs w:val="22"/>
        </w:rPr>
        <w:t>PREGÃO PRESENCIAL 03/2020 - SRP</w:t>
      </w:r>
    </w:p>
    <w:p>
      <w:pPr>
        <w:spacing w:before="0"/>
        <w:rPr>
          <w:color w:val="000000"/>
          <w:spacing w:val="-3"/>
          <w:sz w:val="22"/>
          <w:szCs w:val="22"/>
        </w:rPr>
      </w:pPr>
      <w:r>
        <w:rPr>
          <w:color w:val="000000"/>
          <w:spacing w:val="-3"/>
          <w:sz w:val="22"/>
          <w:szCs w:val="22"/>
        </w:rPr>
      </w:r>
    </w:p>
    <w:p>
      <w:pPr>
        <w:pStyle w:val="para3"/>
        <w:spacing w:before="0"/>
        <w:jc w:val="center"/>
        <w:rPr>
          <w:color w:val="000000"/>
          <w:spacing w:val="-3"/>
          <w:sz w:val="22"/>
          <w:szCs w:val="22"/>
        </w:rPr>
      </w:pPr>
      <w:r>
        <w:rPr>
          <w:color w:val="000000"/>
          <w:spacing w:val="-3"/>
          <w:sz w:val="22"/>
          <w:szCs w:val="22"/>
        </w:rPr>
        <w:t>RECIBO</w:t>
      </w:r>
    </w:p>
    <w:p>
      <w:pPr>
        <w:spacing w:before="0"/>
        <w:rPr>
          <w:color w:val="000000"/>
          <w:spacing w:val="-3"/>
          <w:sz w:val="22"/>
          <w:szCs w:val="22"/>
        </w:rPr>
      </w:pPr>
      <w:r>
        <w:rPr>
          <w:color w:val="000000"/>
          <w:spacing w:val="-3"/>
          <w:sz w:val="22"/>
          <w:szCs w:val="22"/>
        </w:rPr>
      </w:r>
    </w:p>
    <w:p>
      <w:pPr>
        <w:pStyle w:val="para17"/>
        <w:ind w:firstLine="0"/>
        <w:spacing w:before="0" w:line="240" w:lineRule="auto"/>
        <w:rPr>
          <w:b/>
          <w:color w:val="000000"/>
          <w:spacing w:val="-3"/>
          <w:szCs w:val="22"/>
        </w:rPr>
      </w:pPr>
      <w:r>
        <w:rPr>
          <w:color w:val="000000"/>
          <w:spacing w:val="-3"/>
          <w:szCs w:val="22"/>
        </w:rPr>
        <w:t xml:space="preserve">Recebi da Comissão Permanente de Pregão da Prefeitura Municipal de São Domingos do Norte - Estado do Espírito Santo, a cópia do Edital modalidade PREGÃO PRESENCIAL Nº </w:t>
      </w:r>
      <w:r>
        <w:rPr>
          <w:b/>
          <w:color w:val="000000"/>
          <w:spacing w:val="-3"/>
          <w:szCs w:val="22"/>
        </w:rPr>
        <w:t>03/2020</w:t>
      </w:r>
      <w:r>
        <w:rPr>
          <w:color w:val="000000"/>
          <w:spacing w:val="-3"/>
          <w:szCs w:val="22"/>
        </w:rPr>
        <w:t xml:space="preserve">, para abertura às </w:t>
      </w:r>
      <w:r>
        <w:rPr>
          <w:b/>
          <w:color w:val="000000"/>
          <w:spacing w:val="-3"/>
          <w:szCs w:val="22"/>
        </w:rPr>
        <w:t>9</w:t>
      </w:r>
      <w:r>
        <w:rPr>
          <w:b/>
          <w:color w:val="000000"/>
          <w:spacing w:val="-3"/>
          <w:szCs w:val="22"/>
        </w:rPr>
        <w:t>h</w:t>
      </w:r>
      <w:r>
        <w:rPr>
          <w:b/>
          <w:color w:val="000000"/>
          <w:spacing w:val="-3"/>
          <w:szCs w:val="22"/>
        </w:rPr>
        <w:t xml:space="preserve"> do dia </w:t>
      </w:r>
      <w:r>
        <w:rPr>
          <w:b/>
          <w:color w:val="000000"/>
          <w:spacing w:val="-3"/>
          <w:szCs w:val="22"/>
        </w:rPr>
        <w:t xml:space="preserve">23 </w:t>
      </w:r>
      <w:r>
        <w:rPr>
          <w:b/>
          <w:color w:val="000000"/>
          <w:spacing w:val="-3"/>
          <w:szCs w:val="22"/>
        </w:rPr>
        <w:t xml:space="preserve">de janeiro </w:t>
      </w:r>
      <w:r>
        <w:rPr>
          <w:b/>
          <w:color w:val="000000"/>
          <w:spacing w:val="-3"/>
          <w:szCs w:val="22"/>
        </w:rPr>
        <w:t>de 2020.</w:t>
      </w:r>
      <w:r>
        <w:rPr>
          <w:b/>
          <w:color w:val="000000"/>
          <w:spacing w:val="-3"/>
          <w:szCs w:val="22"/>
        </w:rPr>
      </w:r>
    </w:p>
    <w:p>
      <w:pPr>
        <w:spacing w:before="0"/>
        <w:rPr>
          <w:color w:val="000000"/>
          <w:spacing w:val="-3"/>
          <w:sz w:val="22"/>
          <w:szCs w:val="22"/>
        </w:rPr>
      </w:pPr>
      <w:r>
        <w:rPr>
          <w:color w:val="000000"/>
          <w:spacing w:val="-3"/>
          <w:sz w:val="22"/>
          <w:szCs w:val="22"/>
        </w:rPr>
      </w:r>
    </w:p>
    <w:p>
      <w:pPr>
        <w:spacing w:before="0"/>
        <w:rPr>
          <w:color w:val="000000"/>
          <w:spacing w:val="-3"/>
          <w:sz w:val="22"/>
          <w:szCs w:val="22"/>
        </w:rPr>
      </w:pPr>
      <w:r>
        <w:rPr>
          <w:color w:val="000000"/>
          <w:spacing w:val="-3"/>
          <w:sz w:val="22"/>
          <w:szCs w:val="22"/>
        </w:rPr>
      </w:r>
    </w:p>
    <w:p>
      <w:pPr>
        <w:pStyle w:val="para4"/>
        <w:ind w:left="0"/>
        <w:spacing w:before="0"/>
        <w:jc w:val="left"/>
        <w:rPr>
          <w:color w:val="000000"/>
          <w:spacing w:val="-3"/>
          <w:sz w:val="22"/>
          <w:szCs w:val="22"/>
        </w:rPr>
      </w:pPr>
      <w:r>
        <w:rPr>
          <w:color w:val="000000"/>
          <w:spacing w:val="-3"/>
          <w:sz w:val="22"/>
          <w:szCs w:val="22"/>
        </w:rPr>
        <w:t>São Domingos do Norte/ES, ......../.........../..........</w:t>
      </w:r>
    </w:p>
    <w:p>
      <w:pPr>
        <w:spacing w:before="0"/>
        <w:rPr>
          <w:color w:val="000000"/>
          <w:spacing w:val="-3"/>
          <w:sz w:val="22"/>
          <w:szCs w:val="22"/>
        </w:rPr>
      </w:pPr>
      <w:r>
        <w:rPr>
          <w:color w:val="000000"/>
          <w:spacing w:val="-3"/>
          <w:sz w:val="22"/>
          <w:szCs w:val="22"/>
        </w:rPr>
      </w:r>
    </w:p>
    <w:p>
      <w:pPr>
        <w:spacing w:before="0"/>
        <w:rPr>
          <w:color w:val="000000"/>
          <w:spacing w:val="-3"/>
          <w:sz w:val="22"/>
          <w:szCs w:val="22"/>
        </w:rPr>
      </w:pPr>
      <w:r>
        <w:rPr>
          <w:color w:val="000000"/>
          <w:spacing w:val="-3"/>
          <w:sz w:val="22"/>
          <w:szCs w:val="22"/>
        </w:rPr>
        <w:t>.............................................................................................</w:t>
      </w:r>
    </w:p>
    <w:p>
      <w:pPr>
        <w:pStyle w:val="para4"/>
        <w:ind w:left="0"/>
        <w:spacing w:before="0"/>
        <w:jc w:val="left"/>
        <w:rPr>
          <w:color w:val="000000"/>
          <w:spacing w:val="-3"/>
          <w:sz w:val="22"/>
          <w:szCs w:val="22"/>
        </w:rPr>
      </w:pPr>
      <w:r>
        <w:rPr>
          <w:color w:val="000000"/>
          <w:spacing w:val="-3"/>
          <w:sz w:val="22"/>
          <w:szCs w:val="22"/>
        </w:rPr>
        <w:t>E-MAIL</w:t>
      </w:r>
    </w:p>
    <w:p>
      <w:pPr>
        <w:spacing w:before="0"/>
        <w:rPr>
          <w:color w:val="000000"/>
          <w:spacing w:val="-3"/>
          <w:sz w:val="22"/>
          <w:szCs w:val="22"/>
        </w:rPr>
      </w:pPr>
      <w:r>
        <w:rPr>
          <w:color w:val="000000"/>
          <w:spacing w:val="-3"/>
          <w:sz w:val="22"/>
          <w:szCs w:val="22"/>
        </w:rPr>
      </w:r>
    </w:p>
    <w:p>
      <w:pPr>
        <w:spacing w:before="0"/>
        <w:rPr>
          <w:color w:val="000000"/>
          <w:spacing w:val="-3"/>
          <w:sz w:val="22"/>
          <w:szCs w:val="22"/>
        </w:rPr>
      </w:pPr>
      <w:r>
        <w:rPr>
          <w:color w:val="000000"/>
          <w:spacing w:val="-3"/>
          <w:sz w:val="22"/>
          <w:szCs w:val="22"/>
        </w:rPr>
        <w:t>.............................................................................................</w:t>
      </w:r>
    </w:p>
    <w:p>
      <w:pPr>
        <w:pStyle w:val="para4"/>
        <w:ind w:left="0"/>
        <w:spacing w:before="0"/>
        <w:jc w:val="left"/>
        <w:rPr>
          <w:color w:val="000000"/>
          <w:spacing w:val="-3"/>
          <w:sz w:val="22"/>
          <w:szCs w:val="22"/>
        </w:rPr>
      </w:pPr>
      <w:r>
        <w:rPr>
          <w:color w:val="000000"/>
          <w:spacing w:val="-3"/>
          <w:sz w:val="22"/>
          <w:szCs w:val="22"/>
        </w:rPr>
        <w:t>TELEFONE/FAX</w:t>
      </w:r>
    </w:p>
    <w:p>
      <w:pPr>
        <w:spacing w:before="0"/>
        <w:rPr>
          <w:color w:val="000000"/>
          <w:spacing w:val="-3"/>
          <w:sz w:val="22"/>
          <w:szCs w:val="22"/>
        </w:rPr>
      </w:pPr>
      <w:r>
        <w:rPr>
          <w:color w:val="000000"/>
          <w:spacing w:val="-3"/>
          <w:sz w:val="22"/>
          <w:szCs w:val="22"/>
        </w:rPr>
      </w:r>
    </w:p>
    <w:p>
      <w:pPr>
        <w:spacing w:before="0"/>
        <w:rPr>
          <w:color w:val="000000"/>
          <w:spacing w:val="-3"/>
          <w:sz w:val="22"/>
          <w:szCs w:val="22"/>
        </w:rPr>
      </w:pPr>
      <w:r>
        <w:rPr>
          <w:color w:val="000000"/>
          <w:spacing w:val="-3"/>
          <w:sz w:val="22"/>
          <w:szCs w:val="22"/>
        </w:rPr>
        <w:t>.............................................................................................</w:t>
      </w:r>
    </w:p>
    <w:p>
      <w:pPr>
        <w:pStyle w:val="para4"/>
        <w:ind w:left="0"/>
        <w:spacing w:before="0"/>
        <w:jc w:val="left"/>
        <w:rPr>
          <w:color w:val="000000"/>
          <w:spacing w:val="-3"/>
          <w:sz w:val="22"/>
          <w:szCs w:val="22"/>
        </w:rPr>
      </w:pPr>
      <w:r>
        <w:rPr>
          <w:color w:val="000000"/>
          <w:spacing w:val="-3"/>
          <w:sz w:val="22"/>
          <w:szCs w:val="22"/>
        </w:rPr>
        <w:t xml:space="preserve">ASSINATURA </w:t>
      </w:r>
    </w:p>
    <w:p>
      <w:pPr>
        <w:spacing w:before="0"/>
        <w:rPr>
          <w:color w:val="000000"/>
          <w:sz w:val="22"/>
          <w:szCs w:val="22"/>
        </w:rPr>
      </w:pPr>
      <w:r>
        <w:rPr>
          <w:color w:val="000000"/>
          <w:sz w:val="22"/>
          <w:szCs w:val="22"/>
        </w:rPr>
      </w:r>
    </w:p>
    <w:p>
      <w:pPr>
        <w:pStyle w:val="para4"/>
        <w:ind w:left="0"/>
        <w:spacing w:before="0"/>
        <w:jc w:val="left"/>
        <w:rPr>
          <w:color w:val="000000"/>
          <w:spacing w:val="-3"/>
          <w:sz w:val="22"/>
          <w:szCs w:val="22"/>
        </w:rPr>
      </w:pPr>
      <w:r>
        <w:rPr>
          <w:color w:val="000000"/>
          <w:spacing w:val="-3"/>
          <w:sz w:val="22"/>
          <w:szCs w:val="22"/>
        </w:rPr>
      </w:r>
    </w:p>
    <w:p>
      <w:pPr>
        <w:pStyle w:val="para4"/>
        <w:ind w:left="0"/>
        <w:spacing w:before="0"/>
        <w:jc w:val="left"/>
        <w:rPr>
          <w:color w:val="000000"/>
          <w:spacing w:val="-3"/>
          <w:sz w:val="22"/>
          <w:szCs w:val="22"/>
        </w:rPr>
      </w:pPr>
      <w:r>
        <w:rPr>
          <w:color w:val="000000"/>
          <w:spacing w:val="-3"/>
          <w:sz w:val="22"/>
          <w:szCs w:val="22"/>
        </w:rPr>
        <w:t>NOME DA EMPRESA E CARIMBO DE CNPJ</w:t>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pStyle w:val="para32"/>
        <w:spacing w:before="0" w:after="0"/>
        <w:rPr>
          <w:i w:val="0"/>
          <w:color w:val="000000"/>
          <w:sz w:val="22"/>
          <w:szCs w:val="22"/>
        </w:rPr>
      </w:pPr>
      <w:r>
        <w:rPr>
          <w:i w:val="0"/>
          <w:color w:val="000000"/>
          <w:sz w:val="22"/>
          <w:szCs w:val="22"/>
        </w:rPr>
        <w:t>EDITAL DE PREGÃO PRESENCIAL N</w:t>
      </w:r>
      <w:r>
        <w:rPr>
          <w:i w:val="0"/>
          <w:color w:val="000000"/>
          <w:sz w:val="22"/>
          <w:szCs w:val="22"/>
          <w:u w:color="auto" w:val="single"/>
          <w:vertAlign w:val="superscript"/>
        </w:rPr>
        <w:t>o</w:t>
      </w:r>
      <w:r>
        <w:rPr>
          <w:i w:val="0"/>
          <w:color w:val="000000"/>
          <w:sz w:val="22"/>
          <w:szCs w:val="22"/>
        </w:rPr>
        <w:t xml:space="preserve"> 03/2020 - SRP                                                  </w:t>
      </w:r>
    </w:p>
    <w:p>
      <w:pPr>
        <w:spacing w:before="0"/>
        <w:jc w:val="both"/>
        <w:rPr>
          <w:color w:val="000000"/>
          <w:sz w:val="22"/>
          <w:szCs w:val="22"/>
        </w:rPr>
      </w:pPr>
      <w:r>
        <w:rPr>
          <w:color w:val="000000"/>
          <w:sz w:val="22"/>
          <w:szCs w:val="22"/>
        </w:rPr>
        <w:t xml:space="preserve">A Prefeitura Municipal de São Domingos do Norte, Estado do Espírito Santo, pessoa Jurídica de Direito Público Interno, sediado na Rod. Gether Lopes de Farias, s/nº - São Domingos do Norte/ES, inscrito no Cadastro Nacional de Pessoa Jurídica sob o Nº 36.350.312/0001-72 por meio da Secretaria Municipal do Trabalho, Assistência e Desenvolvimento Social, Secretaria Municipal de Meio Ambiente, Assessoria de Planejamento, Secretaria Municipal de Educação e Cultura, Secretaria Municipal de Obras e Serviços Urbanos, Gabinete do Prefeito, Secretaria Municipal de Agricultura torna público para conhecimento dos interessados, que realizará licitação na modalidade "Pregão Presencial", do tipo “Menor Preço por lote”, para </w:t>
      </w:r>
      <w:r>
        <w:rPr>
          <w:b/>
          <w:bCs/>
          <w:color w:val="000000"/>
          <w:sz w:val="22"/>
          <w:szCs w:val="22"/>
        </w:rPr>
        <w:t>AQUISIÇÃO DE MATERIAL DE CONSUMO</w:t>
      </w:r>
      <w:r>
        <w:rPr>
          <w:color w:val="000000"/>
          <w:sz w:val="22"/>
          <w:szCs w:val="22"/>
        </w:rPr>
        <w:t>, conforme Processo n</w:t>
      </w:r>
      <w:r>
        <w:rPr>
          <w:color w:val="000000"/>
          <w:sz w:val="22"/>
          <w:szCs w:val="22"/>
          <w:u w:color="auto" w:val="single"/>
          <w:vertAlign w:val="superscript"/>
        </w:rPr>
        <w:t>o</w:t>
      </w:r>
      <w:r>
        <w:rPr>
          <w:color w:val="000000"/>
          <w:sz w:val="22"/>
          <w:szCs w:val="22"/>
        </w:rPr>
        <w:t xml:space="preserve"> 5254/2019, 5260/2019, 5264/2019, 5276/2019, 5299/2019, 5402/2019, devidamente aprovado pela autoridade competente. O Pregão será realizado pelo pregoeiro e Equipe de Apoio, designados pela Portaria N</w:t>
      </w:r>
      <w:r>
        <w:rPr>
          <w:color w:val="000000"/>
          <w:sz w:val="22"/>
          <w:szCs w:val="22"/>
          <w:u w:color="auto" w:val="single"/>
          <w:vertAlign w:val="superscript"/>
        </w:rPr>
        <w:t>o</w:t>
      </w:r>
      <w:r>
        <w:rPr>
          <w:color w:val="000000"/>
          <w:sz w:val="22"/>
          <w:szCs w:val="22"/>
        </w:rPr>
        <w:t xml:space="preserve"> 7.713, de 06/01/2020, publicada em 01/04/2019, e regido pela Lei n</w:t>
      </w:r>
      <w:r>
        <w:rPr>
          <w:color w:val="000000"/>
          <w:sz w:val="22"/>
          <w:szCs w:val="22"/>
          <w:u w:color="auto" w:val="single"/>
          <w:vertAlign w:val="superscript"/>
        </w:rPr>
        <w:t>o</w:t>
      </w:r>
      <w:r>
        <w:rPr>
          <w:color w:val="000000"/>
          <w:sz w:val="22"/>
          <w:szCs w:val="22"/>
        </w:rPr>
        <w:t xml:space="preserve"> 10.520, de 17 de julho de 2002 e</w:t>
      </w:r>
      <w:r>
        <w:rPr>
          <w:b/>
          <w:bCs/>
          <w:color w:val="000000"/>
          <w:sz w:val="22"/>
          <w:szCs w:val="22"/>
        </w:rPr>
        <w:t xml:space="preserve"> </w:t>
      </w:r>
      <w:r>
        <w:rPr>
          <w:color w:val="000000"/>
          <w:sz w:val="22"/>
          <w:szCs w:val="22"/>
        </w:rPr>
        <w:t>subsidiariamente, pela Lei Federal n</w:t>
      </w:r>
      <w:r>
        <w:rPr>
          <w:color w:val="000000"/>
          <w:sz w:val="22"/>
          <w:szCs w:val="22"/>
          <w:vertAlign w:val="superscript"/>
        </w:rPr>
        <w:t>o</w:t>
      </w:r>
      <w:r>
        <w:rPr>
          <w:color w:val="000000"/>
          <w:sz w:val="22"/>
          <w:szCs w:val="22"/>
        </w:rPr>
        <w:t xml:space="preserve"> 8.666/93, LC 123/2006, Decreto Federal 3.555/00, Decreto Federal 9.488/2018 e Decreto Municipal 1.663 de 11/06/2019 bem como pelas demais normas pertinentes e condições estabelecidas no presente Edital.</w:t>
      </w:r>
    </w:p>
    <w:p>
      <w:pPr>
        <w:spacing w:before="0"/>
        <w:jc w:val="both"/>
        <w:rPr>
          <w:color w:val="000000"/>
          <w:sz w:val="22"/>
          <w:szCs w:val="22"/>
        </w:rPr>
      </w:pPr>
      <w:r>
        <w:rPr>
          <w:color w:val="000000"/>
          <w:sz w:val="22"/>
          <w:szCs w:val="22"/>
        </w:rPr>
      </w:r>
    </w:p>
    <w:p>
      <w:pPr>
        <w:spacing w:before="0"/>
        <w:jc w:val="both"/>
        <w:rPr>
          <w:color w:val="000000"/>
          <w:sz w:val="22"/>
          <w:szCs w:val="22"/>
        </w:rPr>
      </w:pPr>
      <w:r>
        <w:rPr>
          <w:b/>
          <w:color w:val="000000"/>
          <w:sz w:val="22"/>
          <w:szCs w:val="22"/>
        </w:rPr>
        <w:t>Será aplicada a exclusividade para ME’S e EPP’s nos lotes 01, 05, 06, 07 e 08 nos art. 48, I da LC 123/06, não havendo justificativa legal para não aplicação da exclusividade</w:t>
      </w:r>
      <w:r>
        <w:rPr>
          <w:color w:val="000000"/>
          <w:sz w:val="22"/>
          <w:szCs w:val="22"/>
        </w:rPr>
        <w:t>.</w:t>
      </w:r>
    </w:p>
    <w:p>
      <w:pPr>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u w:color="auto" w:val="single"/>
        </w:rPr>
      </w:pPr>
      <w:r>
        <w:rPr>
          <w:b/>
          <w:bCs/>
          <w:color w:val="000000"/>
          <w:sz w:val="22"/>
          <w:szCs w:val="22"/>
          <w:u w:color="auto" w:val="single"/>
        </w:rPr>
        <w:t>1 - DISPOSIÇÃO PRELIMINAR</w:t>
      </w:r>
    </w:p>
    <w:p>
      <w:pPr>
        <w:spacing w:before="0"/>
        <w:jc w:val="both"/>
        <w:rPr>
          <w:color w:val="000000"/>
          <w:sz w:val="22"/>
          <w:szCs w:val="22"/>
        </w:rPr>
      </w:pPr>
      <w:r>
        <w:rPr>
          <w:color w:val="000000"/>
          <w:sz w:val="22"/>
          <w:szCs w:val="22"/>
        </w:rPr>
        <w:t>1.1. O Pregão Presencial será realizado em sessão pública, em todas as suas fases.</w:t>
      </w:r>
    </w:p>
    <w:p>
      <w:pPr>
        <w:spacing w:before="0"/>
        <w:jc w:val="both"/>
        <w:rPr>
          <w:color w:val="000000"/>
          <w:sz w:val="22"/>
          <w:szCs w:val="22"/>
        </w:rPr>
      </w:pPr>
      <w:r>
        <w:rPr>
          <w:color w:val="000000"/>
          <w:sz w:val="22"/>
          <w:szCs w:val="22"/>
        </w:rPr>
        <w:t>1.2. Os trabalhos serão conduzidos por servidor do órgão promotor do certame, denominada Pregoeiro.</w:t>
      </w:r>
    </w:p>
    <w:p>
      <w:pPr>
        <w:spacing w:before="0"/>
        <w:jc w:val="both"/>
        <w:rPr>
          <w:b/>
          <w:color w:val="000000"/>
          <w:sz w:val="22"/>
          <w:szCs w:val="22"/>
        </w:rPr>
      </w:pPr>
      <w:r>
        <w:rPr>
          <w:color w:val="000000"/>
          <w:sz w:val="22"/>
          <w:szCs w:val="22"/>
        </w:rPr>
        <w:t xml:space="preserve">1.3. </w:t>
      </w:r>
      <w:r>
        <w:rPr>
          <w:b/>
          <w:color w:val="000000"/>
          <w:sz w:val="22"/>
          <w:szCs w:val="22"/>
        </w:rPr>
        <w:t>DATA E HORÁRIO DA ENTREGA DAS PROPOSTAS</w:t>
      </w:r>
      <w:r>
        <w:rPr>
          <w:b/>
          <w:color w:val="000000"/>
          <w:sz w:val="22"/>
          <w:szCs w:val="22"/>
        </w:rPr>
        <w:t xml:space="preserve"> NO PROTOCOLO</w:t>
      </w:r>
      <w:r>
        <w:rPr>
          <w:color w:val="000000"/>
          <w:sz w:val="22"/>
          <w:szCs w:val="22"/>
        </w:rPr>
        <w:t xml:space="preserve">: até 8h do dia </w:t>
      </w:r>
      <w:r>
        <w:rPr>
          <w:b/>
          <w:color w:val="000000"/>
          <w:sz w:val="22"/>
          <w:szCs w:val="22"/>
        </w:rPr>
        <w:t>23/0</w:t>
      </w:r>
      <w:r>
        <w:rPr>
          <w:b/>
          <w:color w:val="000000"/>
          <w:sz w:val="22"/>
          <w:szCs w:val="22"/>
        </w:rPr>
        <w:t>1/2020.</w:t>
      </w:r>
      <w:r>
        <w:rPr>
          <w:b/>
          <w:color w:val="000000"/>
          <w:sz w:val="22"/>
          <w:szCs w:val="22"/>
        </w:rPr>
      </w:r>
    </w:p>
    <w:p>
      <w:pPr>
        <w:spacing w:before="0"/>
        <w:jc w:val="both"/>
        <w:rPr>
          <w:b/>
          <w:color w:val="000000"/>
          <w:sz w:val="22"/>
          <w:szCs w:val="22"/>
        </w:rPr>
      </w:pPr>
      <w:r>
        <w:rPr>
          <w:color w:val="000000"/>
          <w:sz w:val="22"/>
          <w:szCs w:val="22"/>
        </w:rPr>
        <w:t xml:space="preserve">1.4. </w:t>
      </w:r>
      <w:r>
        <w:rPr>
          <w:b/>
          <w:color w:val="000000"/>
          <w:sz w:val="22"/>
          <w:szCs w:val="22"/>
        </w:rPr>
        <w:t xml:space="preserve">DATA E HORÁRIO </w:t>
      </w:r>
      <w:r>
        <w:rPr>
          <w:b/>
          <w:color w:val="000000"/>
          <w:sz w:val="22"/>
          <w:szCs w:val="22"/>
        </w:rPr>
        <w:t>DO CREDENCIAMENTO</w:t>
      </w:r>
      <w:r>
        <w:rPr>
          <w:color w:val="000000"/>
          <w:sz w:val="22"/>
          <w:szCs w:val="22"/>
        </w:rPr>
        <w:t>: às 8h30 do dia</w:t>
      </w:r>
      <w:r>
        <w:rPr>
          <w:b/>
          <w:color w:val="000000"/>
          <w:sz w:val="22"/>
          <w:szCs w:val="22"/>
        </w:rPr>
        <w:t xml:space="preserve"> </w:t>
      </w:r>
      <w:r>
        <w:rPr>
          <w:b/>
          <w:color w:val="000000"/>
          <w:sz w:val="22"/>
          <w:szCs w:val="22"/>
        </w:rPr>
        <w:t>23/0</w:t>
      </w:r>
      <w:r>
        <w:rPr>
          <w:b/>
          <w:color w:val="000000"/>
          <w:sz w:val="22"/>
          <w:szCs w:val="22"/>
        </w:rPr>
        <w:t>1/2020.</w:t>
      </w:r>
      <w:r>
        <w:rPr>
          <w:b/>
          <w:color w:val="000000"/>
          <w:sz w:val="22"/>
          <w:szCs w:val="22"/>
        </w:rPr>
      </w:r>
    </w:p>
    <w:p>
      <w:pPr>
        <w:spacing w:before="0"/>
        <w:jc w:val="both"/>
        <w:rPr>
          <w:b/>
          <w:color w:val="000000"/>
          <w:sz w:val="22"/>
          <w:szCs w:val="22"/>
        </w:rPr>
      </w:pPr>
      <w:r>
        <w:rPr>
          <w:color w:val="000000"/>
          <w:sz w:val="22"/>
          <w:szCs w:val="22"/>
        </w:rPr>
        <w:t xml:space="preserve">1.5. </w:t>
      </w:r>
      <w:r>
        <w:rPr>
          <w:b/>
          <w:color w:val="000000"/>
          <w:sz w:val="22"/>
          <w:szCs w:val="22"/>
        </w:rPr>
        <w:t>DATA E HORÁRIO DE ABERTURA D</w:t>
      </w:r>
      <w:r>
        <w:rPr>
          <w:b/>
          <w:color w:val="000000"/>
          <w:sz w:val="22"/>
          <w:szCs w:val="22"/>
        </w:rPr>
        <w:t>A SESSÃO PÚBLICA</w:t>
      </w:r>
      <w:r>
        <w:rPr>
          <w:color w:val="000000"/>
          <w:sz w:val="22"/>
          <w:szCs w:val="22"/>
        </w:rPr>
        <w:t xml:space="preserve">: até 9h do </w:t>
      </w:r>
      <w:r>
        <w:rPr>
          <w:b/>
          <w:color w:val="000000"/>
          <w:sz w:val="22"/>
          <w:szCs w:val="22"/>
        </w:rPr>
        <w:t>23/0</w:t>
      </w:r>
      <w:r>
        <w:rPr>
          <w:b/>
          <w:color w:val="000000"/>
          <w:sz w:val="22"/>
          <w:szCs w:val="22"/>
        </w:rPr>
        <w:t>1/2020.</w:t>
      </w:r>
      <w:r>
        <w:rPr>
          <w:b/>
          <w:color w:val="000000"/>
          <w:sz w:val="22"/>
          <w:szCs w:val="22"/>
        </w:rPr>
      </w:r>
    </w:p>
    <w:p>
      <w:pPr>
        <w:spacing w:before="0"/>
        <w:jc w:val="both"/>
        <w:rPr>
          <w:color w:val="000000"/>
          <w:sz w:val="22"/>
          <w:szCs w:val="22"/>
        </w:rPr>
      </w:pPr>
      <w:r>
        <w:rPr>
          <w:color w:val="000000"/>
          <w:sz w:val="22"/>
          <w:szCs w:val="22"/>
        </w:rPr>
        <w:t xml:space="preserve">1.6.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pPr>
        <w:spacing w:before="0"/>
        <w:jc w:val="both"/>
        <w:rPr>
          <w:color w:val="000000"/>
          <w:sz w:val="22"/>
          <w:szCs w:val="22"/>
        </w:rPr>
      </w:pPr>
      <w:r>
        <w:rPr>
          <w:color w:val="000000"/>
          <w:sz w:val="22"/>
          <w:szCs w:val="22"/>
        </w:rPr>
        <w:t xml:space="preserve">"Prefeitura Municipal de São Domingos do Norte” </w:t>
      </w:r>
      <w:r>
        <w:rPr>
          <w:b/>
          <w:bCs/>
          <w:color w:val="000000"/>
          <w:sz w:val="22"/>
          <w:szCs w:val="22"/>
        </w:rPr>
        <w:t xml:space="preserve">– Pregão Presencial nº 03/2020 - </w:t>
      </w:r>
      <w:r>
        <w:rPr>
          <w:color w:val="000000"/>
          <w:sz w:val="22"/>
          <w:szCs w:val="22"/>
        </w:rPr>
        <w:t xml:space="preserve">Envelope nº 001 – </w:t>
      </w:r>
      <w:r>
        <w:rPr>
          <w:b/>
          <w:bCs/>
          <w:color w:val="000000"/>
          <w:sz w:val="22"/>
          <w:szCs w:val="22"/>
        </w:rPr>
        <w:t>PROPOSTA”</w:t>
      </w:r>
      <w:r>
        <w:rPr>
          <w:color w:val="000000"/>
          <w:sz w:val="22"/>
          <w:szCs w:val="22"/>
        </w:rPr>
        <w:t>;</w:t>
      </w:r>
    </w:p>
    <w:p>
      <w:pPr>
        <w:spacing w:before="0"/>
        <w:jc w:val="both"/>
        <w:rPr>
          <w:color w:val="000000"/>
          <w:sz w:val="22"/>
          <w:szCs w:val="22"/>
        </w:rPr>
      </w:pPr>
      <w:r>
        <w:rPr>
          <w:color w:val="000000"/>
          <w:sz w:val="22"/>
          <w:szCs w:val="22"/>
        </w:rPr>
        <w:t xml:space="preserve">“Prefeitura Municipal de São Domingos do Norte” </w:t>
      </w:r>
      <w:r>
        <w:rPr>
          <w:b/>
          <w:bCs/>
          <w:color w:val="000000"/>
          <w:sz w:val="22"/>
          <w:szCs w:val="22"/>
        </w:rPr>
        <w:t xml:space="preserve">– Pregão Presencial nº 03/2020 – </w:t>
      </w:r>
      <w:r>
        <w:rPr>
          <w:color w:val="000000"/>
          <w:sz w:val="22"/>
          <w:szCs w:val="22"/>
        </w:rPr>
        <w:t xml:space="preserve">Envelope nº 002 – </w:t>
      </w:r>
      <w:r>
        <w:rPr>
          <w:b/>
          <w:bCs/>
          <w:color w:val="000000"/>
          <w:sz w:val="22"/>
          <w:szCs w:val="22"/>
        </w:rPr>
        <w:t>HABILITAÇÃO</w:t>
      </w:r>
      <w:r>
        <w:rPr>
          <w:color w:val="000000"/>
          <w:sz w:val="22"/>
          <w:szCs w:val="22"/>
        </w:rPr>
        <w:t>".</w:t>
      </w:r>
    </w:p>
    <w:p>
      <w:pPr>
        <w:spacing w:before="0"/>
        <w:jc w:val="both"/>
        <w:rPr>
          <w:color w:val="000000"/>
          <w:sz w:val="22"/>
          <w:szCs w:val="22"/>
        </w:rPr>
      </w:pPr>
      <w:r>
        <w:rPr>
          <w:color w:val="000000"/>
          <w:sz w:val="22"/>
          <w:szCs w:val="22"/>
        </w:rPr>
        <w:t xml:space="preserve">1.7. </w:t>
      </w:r>
      <w:r>
        <w:rPr>
          <w:b/>
          <w:color w:val="000000"/>
          <w:sz w:val="22"/>
          <w:szCs w:val="22"/>
        </w:rPr>
        <w:t>PEDIDO DE ESCLARECIMENTOS</w:t>
      </w:r>
      <w:r>
        <w:rPr>
          <w:color w:val="000000"/>
          <w:sz w:val="22"/>
          <w:szCs w:val="22"/>
        </w:rPr>
        <w:t>: Até 02 (dois) dias úteis anteriores à data fixada para abertura da sessão pública.</w:t>
      </w:r>
    </w:p>
    <w:p>
      <w:pPr>
        <w:spacing w:before="0"/>
        <w:jc w:val="both"/>
        <w:rPr>
          <w:color w:val="000000"/>
          <w:sz w:val="22"/>
          <w:szCs w:val="22"/>
        </w:rPr>
      </w:pPr>
      <w:r>
        <w:rPr>
          <w:color w:val="000000"/>
          <w:sz w:val="22"/>
          <w:szCs w:val="22"/>
        </w:rPr>
      </w:r>
    </w:p>
    <w:p>
      <w:pPr>
        <w:spacing w:before="0"/>
        <w:jc w:val="both"/>
        <w:rPr>
          <w:b/>
          <w:bCs/>
          <w:color w:val="000000"/>
          <w:sz w:val="22"/>
          <w:szCs w:val="22"/>
          <w:u w:color="auto" w:val="single"/>
        </w:rPr>
      </w:pPr>
      <w:r>
        <w:rPr>
          <w:b/>
          <w:bCs/>
          <w:color w:val="000000"/>
          <w:sz w:val="22"/>
          <w:szCs w:val="22"/>
          <w:u w:color="auto" w:val="single"/>
        </w:rPr>
        <w:t>2 - DO OBJETO</w:t>
      </w:r>
    </w:p>
    <w:p>
      <w:pPr>
        <w:spacing w:before="0"/>
        <w:jc w:val="both"/>
        <w:rPr>
          <w:color w:val="000000"/>
          <w:sz w:val="22"/>
          <w:szCs w:val="22"/>
        </w:rPr>
      </w:pPr>
      <w:r>
        <w:rPr>
          <w:color w:val="000000"/>
          <w:sz w:val="22"/>
          <w:szCs w:val="22"/>
        </w:rPr>
        <w:t>2.1. Aquisição de combustíveis para serem usados nos veículos lotados nas diversas Secretarias desta Prefeitura Municipal de São Domingos do Norte. Estes se fazem necessários para atender as necessidades dos funcionários  quanto as dos munícipes,  para o exercício de 2020.</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3 - DAS CONDIÇÕES DE RECEBIMENTO DO OBJETO DA LICITAÇÃO</w:t>
      </w:r>
    </w:p>
    <w:p>
      <w:pPr>
        <w:spacing w:before="0"/>
        <w:jc w:val="both"/>
        <w:rPr>
          <w:color w:val="000000"/>
          <w:sz w:val="22"/>
          <w:szCs w:val="22"/>
        </w:rPr>
      </w:pPr>
      <w:r>
        <w:rPr>
          <w:color w:val="000000"/>
          <w:sz w:val="22"/>
          <w:szCs w:val="22"/>
        </w:rPr>
        <w:t>3.1. O recebimento do objeto da presente licitação se fará na forma estabelecida neste Edital e Termo de Referência, anexo VIII deste Edital.</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4 - DOTAÇÃO ORÇAMENTÁRIA</w:t>
      </w:r>
    </w:p>
    <w:p>
      <w:pPr>
        <w:spacing w:before="0"/>
        <w:jc w:val="both"/>
        <w:rPr>
          <w:color w:val="000000"/>
          <w:sz w:val="22"/>
          <w:szCs w:val="22"/>
        </w:rPr>
      </w:pPr>
      <w:r>
        <w:rPr>
          <w:color w:val="000000"/>
          <w:sz w:val="22"/>
          <w:szCs w:val="22"/>
        </w:rPr>
        <w:t>4.1. As despesas decorrente da presente licitação serão pagos com recurso consignados no orçamento municipal.</w:t>
      </w:r>
    </w:p>
    <w:p>
      <w:pPr>
        <w:spacing w:before="0"/>
        <w:jc w:val="both"/>
        <w:rPr>
          <w:b/>
          <w:color w:val="000000"/>
          <w:sz w:val="22"/>
          <w:szCs w:val="22"/>
        </w:rPr>
      </w:pPr>
      <w:r>
        <w:rPr>
          <w:b/>
          <w:color w:val="000000"/>
          <w:sz w:val="22"/>
          <w:szCs w:val="22"/>
        </w:rPr>
        <w:t>Fichas:</w:t>
      </w:r>
    </w:p>
    <w:p>
      <w:pPr>
        <w:spacing w:before="0"/>
        <w:jc w:val="both"/>
        <w:rPr>
          <w:b/>
          <w:color w:val="000000"/>
          <w:sz w:val="22"/>
          <w:szCs w:val="22"/>
        </w:rPr>
      </w:pPr>
      <w:r>
        <w:rPr>
          <w:b/>
          <w:color w:val="000000"/>
          <w:sz w:val="22"/>
          <w:szCs w:val="22"/>
        </w:rPr>
        <w:t>Secretaria Municipal de Educação e Cultura</w:t>
      </w:r>
    </w:p>
    <w:p>
      <w:pPr>
        <w:spacing w:before="0"/>
        <w:jc w:val="both"/>
        <w:rPr>
          <w:color w:val="000000"/>
          <w:sz w:val="22"/>
          <w:szCs w:val="22"/>
        </w:rPr>
      </w:pPr>
      <w:r>
        <w:rPr>
          <w:color w:val="000000"/>
          <w:sz w:val="22"/>
          <w:szCs w:val="22"/>
        </w:rPr>
        <w:t>93 - 1001, 149 - 1111, 233 - 1001.</w:t>
      </w:r>
    </w:p>
    <w:p>
      <w:pPr>
        <w:spacing w:before="0"/>
        <w:jc w:val="both"/>
        <w:rPr>
          <w:b/>
          <w:color w:val="000000"/>
          <w:sz w:val="22"/>
          <w:szCs w:val="22"/>
        </w:rPr>
      </w:pPr>
      <w:r>
        <w:rPr>
          <w:b/>
          <w:color w:val="000000"/>
          <w:sz w:val="22"/>
          <w:szCs w:val="22"/>
        </w:rPr>
        <w:t>Secretaria Municipal de obras e Serviços Urbanos</w:t>
      </w:r>
    </w:p>
    <w:p>
      <w:pPr>
        <w:spacing w:before="0"/>
        <w:jc w:val="both"/>
        <w:rPr>
          <w:color w:val="000000"/>
          <w:sz w:val="22"/>
          <w:szCs w:val="22"/>
        </w:rPr>
      </w:pPr>
      <w:r>
        <w:rPr>
          <w:color w:val="000000"/>
          <w:sz w:val="22"/>
          <w:szCs w:val="22"/>
        </w:rPr>
        <w:t>382 - 1001, 411 - 1001, 420 - 1001.</w:t>
      </w:r>
    </w:p>
    <w:p>
      <w:pPr>
        <w:spacing w:before="0"/>
        <w:jc w:val="both"/>
        <w:rPr>
          <w:b/>
          <w:color w:val="000000"/>
          <w:sz w:val="22"/>
          <w:szCs w:val="22"/>
        </w:rPr>
      </w:pPr>
      <w:r>
        <w:rPr>
          <w:b/>
          <w:color w:val="000000"/>
          <w:sz w:val="22"/>
          <w:szCs w:val="22"/>
        </w:rPr>
        <w:t>Gabinete do Prefeito</w:t>
      </w:r>
    </w:p>
    <w:p>
      <w:pPr>
        <w:spacing w:before="0"/>
        <w:jc w:val="both"/>
        <w:rPr>
          <w:color w:val="000000"/>
          <w:sz w:val="22"/>
          <w:szCs w:val="22"/>
        </w:rPr>
      </w:pPr>
      <w:r>
        <w:rPr>
          <w:color w:val="000000"/>
          <w:sz w:val="22"/>
          <w:szCs w:val="22"/>
        </w:rPr>
        <w:t>04 – 1001.</w:t>
      </w:r>
    </w:p>
    <w:p>
      <w:pPr>
        <w:spacing w:before="0"/>
        <w:jc w:val="both"/>
        <w:rPr>
          <w:b/>
          <w:color w:val="000000"/>
          <w:sz w:val="22"/>
          <w:szCs w:val="22"/>
        </w:rPr>
      </w:pPr>
      <w:r>
        <w:rPr>
          <w:b/>
          <w:color w:val="000000"/>
          <w:sz w:val="22"/>
          <w:szCs w:val="22"/>
        </w:rPr>
        <w:t>Secretaria Municipal de Agricultura</w:t>
      </w:r>
    </w:p>
    <w:p>
      <w:pPr>
        <w:spacing w:before="0"/>
        <w:jc w:val="both"/>
        <w:rPr>
          <w:color w:val="000000"/>
          <w:sz w:val="22"/>
          <w:szCs w:val="22"/>
        </w:rPr>
      </w:pPr>
      <w:r>
        <w:rPr>
          <w:color w:val="000000"/>
          <w:sz w:val="22"/>
          <w:szCs w:val="22"/>
        </w:rPr>
        <w:t>452 - 1001, 460 - 1001, 477 - 1001, 487 - 1001.</w:t>
      </w:r>
    </w:p>
    <w:p>
      <w:pPr>
        <w:spacing w:before="0"/>
        <w:jc w:val="both"/>
        <w:rPr>
          <w:b/>
          <w:color w:val="000000"/>
          <w:sz w:val="22"/>
          <w:szCs w:val="22"/>
        </w:rPr>
      </w:pPr>
      <w:r>
        <w:rPr>
          <w:b/>
          <w:color w:val="000000"/>
          <w:sz w:val="22"/>
          <w:szCs w:val="22"/>
        </w:rPr>
        <w:t>Secretaria Municipal de Meio Ambiente</w:t>
      </w:r>
    </w:p>
    <w:p>
      <w:pPr>
        <w:spacing w:before="0"/>
        <w:jc w:val="both"/>
        <w:rPr>
          <w:color w:val="000000"/>
          <w:sz w:val="22"/>
          <w:szCs w:val="22"/>
        </w:rPr>
      </w:pPr>
      <w:r>
        <w:rPr>
          <w:color w:val="000000"/>
          <w:sz w:val="22"/>
          <w:szCs w:val="22"/>
        </w:rPr>
        <w:t>498 – 1001.</w:t>
      </w:r>
    </w:p>
    <w:p>
      <w:pPr>
        <w:spacing w:before="0"/>
        <w:jc w:val="both"/>
        <w:rPr>
          <w:b/>
          <w:color w:val="000000"/>
          <w:sz w:val="22"/>
          <w:szCs w:val="22"/>
        </w:rPr>
      </w:pPr>
      <w:r>
        <w:rPr>
          <w:b/>
          <w:color w:val="000000"/>
          <w:sz w:val="22"/>
          <w:szCs w:val="22"/>
        </w:rPr>
        <w:t>Secretaria Municipal Trabalho Assistência e Desenvolvimento Social</w:t>
      </w:r>
    </w:p>
    <w:p>
      <w:pPr>
        <w:spacing w:before="0"/>
        <w:jc w:val="both"/>
        <w:rPr>
          <w:color w:val="000000"/>
          <w:sz w:val="22"/>
          <w:szCs w:val="22"/>
        </w:rPr>
      </w:pPr>
      <w:r>
        <w:rPr>
          <w:color w:val="000000"/>
          <w:sz w:val="22"/>
          <w:szCs w:val="22"/>
        </w:rPr>
        <w:t>343 - 1311, 361 - 1001, 373 - 1001, 332 - 1390.</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5 - DO PRAZO DA VIGÊNCIA DA ATA DE REGISTRO DE PREÇOS</w:t>
      </w:r>
    </w:p>
    <w:p>
      <w:pPr>
        <w:spacing w:before="0"/>
        <w:jc w:val="both"/>
        <w:rPr>
          <w:b/>
          <w:color w:val="000000"/>
          <w:sz w:val="22"/>
          <w:szCs w:val="22"/>
        </w:rPr>
      </w:pPr>
      <w:r>
        <w:rPr>
          <w:color w:val="000000"/>
          <w:sz w:val="22"/>
          <w:szCs w:val="22"/>
        </w:rPr>
        <w:t>5.1. A Ata de Registro de Preços terá inicio após sua assinatura; será válida por 12 meses.</w:t>
      </w:r>
      <w:r>
        <w:rPr>
          <w:b/>
          <w:color w:val="000000"/>
          <w:sz w:val="22"/>
          <w:szCs w:val="22"/>
        </w:rPr>
      </w:r>
    </w:p>
    <w:p>
      <w:pPr>
        <w:spacing w:before="0"/>
        <w:jc w:val="both"/>
        <w:rPr>
          <w:color w:val="000000"/>
          <w:sz w:val="22"/>
          <w:szCs w:val="22"/>
        </w:rPr>
      </w:pPr>
      <w:r>
        <w:rPr>
          <w:color w:val="000000"/>
          <w:sz w:val="22"/>
          <w:szCs w:val="22"/>
        </w:rPr>
        <w:t>5.2. É vedada a assunção de obrigações que importem em necessidade de alocação de créditos orçamentários relativos a exercício financeiro futuro.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6 - DOS PREÇOS E DAS CONDIÇÕES DE PAGAMENTO</w:t>
      </w:r>
    </w:p>
    <w:p>
      <w:pPr>
        <w:spacing w:before="0"/>
        <w:jc w:val="both"/>
        <w:rPr>
          <w:color w:val="000000"/>
          <w:sz w:val="22"/>
          <w:szCs w:val="22"/>
        </w:rPr>
      </w:pPr>
      <w:r>
        <w:rPr>
          <w:color w:val="000000"/>
          <w:sz w:val="22"/>
          <w:szCs w:val="22"/>
        </w:rPr>
        <w:t>6.1. Os preços serão estabelecidos em conformidade com a Cláusula da Minuta do Contrato, Anexo X deste Edital.</w:t>
      </w:r>
    </w:p>
    <w:p>
      <w:pPr>
        <w:spacing w:before="0"/>
        <w:jc w:val="both"/>
        <w:rPr>
          <w:color w:val="000000"/>
          <w:sz w:val="22"/>
          <w:szCs w:val="22"/>
        </w:rPr>
      </w:pPr>
      <w:r>
        <w:rPr>
          <w:color w:val="000000"/>
          <w:sz w:val="22"/>
          <w:szCs w:val="22"/>
        </w:rPr>
        <w:t xml:space="preserve">6.2. O pagamento será efetuado, mediante Termo de Recebimento dos produtos, emitido pela Secretaria requisitante, em até 15 (quinze) dias, após a aceitação e atestados das Notas Fiscais emitidos pelo fiscal do contrato e Ata de Registro de Preços.  </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7 - PRAZOS DE VALIDADE DAS PROPOSTAS</w:t>
      </w:r>
    </w:p>
    <w:p>
      <w:pPr>
        <w:spacing w:before="0"/>
        <w:jc w:val="both"/>
        <w:rPr>
          <w:color w:val="000000"/>
          <w:sz w:val="22"/>
          <w:szCs w:val="22"/>
        </w:rPr>
      </w:pPr>
      <w:r>
        <w:rPr>
          <w:color w:val="000000"/>
          <w:sz w:val="22"/>
          <w:szCs w:val="22"/>
        </w:rPr>
        <w:t>7.1. O prazo de validade das propostas será de 12 (doze) meses de acordo com a ata de registro de preços, conforme indicado neste edital.</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8 - RECEBIMENTO E ABERTURA DAS PROPOSTAS E DATA DO PREGÃO</w:t>
      </w:r>
    </w:p>
    <w:p>
      <w:pPr>
        <w:spacing w:before="0"/>
        <w:jc w:val="both"/>
        <w:rPr>
          <w:color w:val="000000"/>
          <w:sz w:val="22"/>
          <w:szCs w:val="22"/>
        </w:rPr>
      </w:pPr>
      <w:r>
        <w:rPr>
          <w:color w:val="000000"/>
          <w:sz w:val="22"/>
          <w:szCs w:val="22"/>
        </w:rPr>
        <w:t>8.1. O fornecedor deverá observar as datas e os horários limites previstos para a abertura da proposta, atentando também para a data e horário do início da disputa.</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9 - REFERÊNCIAS DE TEMPO</w:t>
      </w:r>
    </w:p>
    <w:p>
      <w:pPr>
        <w:spacing w:before="0"/>
        <w:jc w:val="both"/>
        <w:rPr>
          <w:color w:val="000000"/>
          <w:sz w:val="22"/>
          <w:szCs w:val="22"/>
        </w:rPr>
      </w:pPr>
      <w:r>
        <w:rPr>
          <w:color w:val="000000"/>
          <w:sz w:val="22"/>
          <w:szCs w:val="22"/>
        </w:rPr>
        <w:t>9.1. Todas as referências de tempo no Edital, no Aviso e durante a Sessão Pública observarão, obrigatoriamente, o horário de Brasília – DF.</w:t>
      </w:r>
    </w:p>
    <w:p>
      <w:pPr>
        <w:spacing w:before="0"/>
        <w:jc w:val="both"/>
        <w:rPr>
          <w:rStyle w:val="char9"/>
          <w:b w:val="0"/>
          <w:bCs w:val="0"/>
          <w:color w:val="000000"/>
          <w:sz w:val="22"/>
          <w:szCs w:val="22"/>
        </w:rPr>
      </w:pPr>
      <w:r>
        <w:rPr>
          <w:rStyle w:val="char9"/>
          <w:b w:val="0"/>
          <w:bCs w:val="0"/>
          <w:color w:val="000000"/>
          <w:sz w:val="22"/>
          <w:szCs w:val="22"/>
        </w:rPr>
      </w:r>
    </w:p>
    <w:p>
      <w:pPr>
        <w:spacing w:before="0"/>
        <w:jc w:val="both"/>
        <w:rPr>
          <w:b/>
          <w:bCs/>
          <w:color w:val="000000"/>
          <w:sz w:val="22"/>
          <w:szCs w:val="22"/>
        </w:rPr>
      </w:pPr>
      <w:r>
        <w:rPr>
          <w:b/>
          <w:bCs/>
          <w:color w:val="000000"/>
          <w:sz w:val="22"/>
          <w:szCs w:val="22"/>
        </w:rPr>
        <w:t>10 - CONDIÇÕES PARA PARTICIPAÇÃO</w:t>
      </w:r>
    </w:p>
    <w:p>
      <w:pPr>
        <w:spacing w:before="0"/>
        <w:jc w:val="both"/>
        <w:rPr>
          <w:color w:val="000000"/>
          <w:sz w:val="22"/>
          <w:szCs w:val="22"/>
        </w:rPr>
      </w:pPr>
      <w:r>
        <w:rPr>
          <w:color w:val="000000"/>
          <w:sz w:val="22"/>
          <w:szCs w:val="22"/>
        </w:rPr>
        <w:t>10.1. Poderão participar do processo os interessados que atenderem a todas as exigências contidas neste Edital e seus anexos.</w:t>
      </w:r>
    </w:p>
    <w:p>
      <w:pPr>
        <w:spacing w:before="0"/>
        <w:jc w:val="both"/>
        <w:rPr>
          <w:color w:val="000000"/>
          <w:sz w:val="22"/>
          <w:szCs w:val="22"/>
        </w:rPr>
      </w:pPr>
      <w:r>
        <w:rPr>
          <w:color w:val="000000"/>
          <w:sz w:val="22"/>
          <w:szCs w:val="22"/>
        </w:rPr>
        <w:t>10.2. Estarão impedidos de participar de qualquer fase do processo, interessados que se enquadrarem em uma ou mais das situações a seguir:</w:t>
      </w:r>
    </w:p>
    <w:p>
      <w:pPr>
        <w:spacing w:before="0"/>
        <w:jc w:val="both"/>
        <w:rPr>
          <w:sz w:val="22"/>
          <w:szCs w:val="22"/>
        </w:rPr>
      </w:pPr>
      <w:r>
        <w:rPr>
          <w:sz w:val="22"/>
          <w:szCs w:val="22"/>
        </w:rPr>
        <w:t>a) Estejam constituídos sob a forma de consórcio;</w:t>
      </w:r>
    </w:p>
    <w:p>
      <w:pPr>
        <w:spacing w:before="0"/>
        <w:jc w:val="both"/>
        <w:rPr>
          <w:sz w:val="22"/>
          <w:szCs w:val="22"/>
        </w:rPr>
      </w:pPr>
      <w:r>
        <w:rPr>
          <w:sz w:val="22"/>
          <w:szCs w:val="22"/>
        </w:rPr>
        <w:t>b) Estejam cumprindo as penalidades previstas no artigo 87, inciso III da Lei Federal nº. 8.666/93 e no artigo 7º da Lei Federal nº. 10.520/02, desde que impostas pela própria Administração Pública Estadual;</w:t>
      </w:r>
    </w:p>
    <w:p>
      <w:pPr>
        <w:spacing w:before="0"/>
        <w:jc w:val="both"/>
        <w:rPr>
          <w:sz w:val="22"/>
          <w:szCs w:val="22"/>
        </w:rPr>
      </w:pPr>
      <w:r>
        <w:rPr>
          <w:sz w:val="22"/>
          <w:szCs w:val="22"/>
        </w:rPr>
        <w:t>c) Estejam cumprindo a pena prevista no artigo 87, inciso IV da Lei Federal nº. 8.666/93, ainda que imposta por ente federativo diverso do Espírito Santo;</w:t>
      </w:r>
    </w:p>
    <w:p>
      <w:pPr>
        <w:spacing w:before="0"/>
        <w:jc w:val="both"/>
        <w:rPr>
          <w:sz w:val="22"/>
          <w:szCs w:val="22"/>
        </w:rPr>
      </w:pPr>
      <w:r>
        <w:rPr>
          <w:sz w:val="22"/>
          <w:szCs w:val="22"/>
        </w:rPr>
        <w:t>d) Estejam sob falência, recuperação judicial, dissolução ou liquidação; e</w:t>
      </w:r>
    </w:p>
    <w:p>
      <w:pPr>
        <w:spacing w:before="0"/>
        <w:jc w:val="both"/>
        <w:rPr>
          <w:sz w:val="22"/>
          <w:szCs w:val="22"/>
        </w:rPr>
      </w:pPr>
      <w:r>
        <w:rPr>
          <w:sz w:val="22"/>
          <w:szCs w:val="22"/>
        </w:rPr>
        <w:t>e) Não cumpram o disposto no art. 9º da Lei nº 8.666/93 e alterações.</w:t>
      </w:r>
    </w:p>
    <w:p>
      <w:pPr>
        <w:spacing w:before="0"/>
        <w:jc w:val="both"/>
        <w:rPr>
          <w:b/>
          <w:sz w:val="22"/>
          <w:szCs w:val="22"/>
        </w:rPr>
      </w:pPr>
      <w:r>
        <w:rPr>
          <w:color w:val="000000"/>
          <w:sz w:val="22"/>
          <w:szCs w:val="22"/>
        </w:rPr>
        <w:t>10.3.</w:t>
      </w:r>
      <w:r>
        <w:rPr>
          <w:b/>
          <w:color w:val="000000"/>
          <w:sz w:val="22"/>
          <w:szCs w:val="22"/>
        </w:rPr>
        <w:t xml:space="preserve"> Credenciamento – Para</w:t>
      </w:r>
      <w:r>
        <w:rPr>
          <w:b/>
          <w:color w:val="000000"/>
          <w:sz w:val="22"/>
          <w:szCs w:val="22"/>
        </w:rPr>
        <w:t xml:space="preserve"> fins de Credenciamento junto </w:t>
      </w:r>
      <w:r>
        <w:rPr>
          <w:b/>
          <w:color w:val="000000"/>
          <w:sz w:val="22"/>
          <w:szCs w:val="22"/>
        </w:rPr>
        <w:t>a(</w:t>
      </w:r>
      <w:r>
        <w:rPr>
          <w:b/>
          <w:color w:val="000000"/>
          <w:sz w:val="22"/>
          <w:szCs w:val="22"/>
        </w:rPr>
        <w:t>o) Pregoeiro</w:t>
      </w:r>
      <w:r>
        <w:rPr>
          <w:b/>
          <w:color w:val="000000"/>
          <w:sz w:val="22"/>
          <w:szCs w:val="22"/>
        </w:rPr>
        <w:t>(a), o proponente poderá enviar um representante</w:t>
      </w:r>
      <w:r>
        <w:rPr>
          <w:b/>
          <w:color w:val="000000"/>
          <w:sz w:val="22"/>
          <w:szCs w:val="22"/>
        </w:rPr>
        <w:t xml:space="preserve"> munido de credencial conforme m</w:t>
      </w:r>
      <w:r>
        <w:rPr>
          <w:b/>
          <w:color w:val="000000"/>
          <w:sz w:val="22"/>
          <w:szCs w:val="22"/>
        </w:rPr>
        <w:t xml:space="preserve">odelo deste Edital. </w:t>
      </w:r>
      <w:r>
        <w:rPr>
          <w:b/>
          <w:color w:val="000000"/>
          <w:sz w:val="22"/>
          <w:szCs w:val="22"/>
        </w:rPr>
        <w:t xml:space="preserve"> E apresentar o contrato social, cópia</w:t>
      </w:r>
      <w:r>
        <w:rPr>
          <w:b/>
          <w:color w:val="000000"/>
          <w:sz w:val="22"/>
          <w:szCs w:val="22"/>
        </w:rPr>
        <w:t>s</w:t>
      </w:r>
      <w:r>
        <w:rPr>
          <w:b/>
          <w:color w:val="000000"/>
          <w:sz w:val="22"/>
          <w:szCs w:val="22"/>
        </w:rPr>
        <w:t xml:space="preserve"> dos documentos dos sócios administrativos. </w:t>
      </w:r>
      <w:r>
        <w:rPr>
          <w:b/>
          <w:color w:val="000000"/>
          <w:sz w:val="22"/>
          <w:szCs w:val="22"/>
        </w:rPr>
        <w:t>Sendo</w:t>
      </w:r>
      <w:r>
        <w:rPr>
          <w:b/>
          <w:color w:val="000000"/>
          <w:sz w:val="22"/>
          <w:szCs w:val="22"/>
        </w:rPr>
        <w:t xml:space="preserve"> representante legal </w:t>
      </w:r>
      <w:r>
        <w:rPr>
          <w:b/>
          <w:color w:val="000000"/>
          <w:sz w:val="22"/>
          <w:szCs w:val="22"/>
        </w:rPr>
        <w:t>ou não, deverá apresentar</w:t>
      </w:r>
      <w:r>
        <w:rPr>
          <w:b/>
          <w:color w:val="000000"/>
          <w:sz w:val="22"/>
          <w:szCs w:val="22"/>
        </w:rPr>
        <w:t xml:space="preserve"> acompanh</w:t>
      </w:r>
      <w:r>
        <w:rPr>
          <w:b/>
          <w:color w:val="000000"/>
          <w:sz w:val="22"/>
          <w:szCs w:val="22"/>
        </w:rPr>
        <w:t xml:space="preserve">ada da </w:t>
      </w:r>
      <w:r>
        <w:rPr>
          <w:b/>
          <w:sz w:val="22"/>
          <w:szCs w:val="22"/>
        </w:rPr>
        <w:t>Certidão Simplificada da Junta Comercial</w:t>
      </w:r>
      <w:r>
        <w:rPr>
          <w:b/>
          <w:sz w:val="22"/>
          <w:szCs w:val="22"/>
        </w:rPr>
        <w:t xml:space="preserve"> expedida em até 120 (cento e vinte) dias anterior à abertura do certame</w:t>
      </w:r>
      <w:r>
        <w:rPr>
          <w:b/>
          <w:sz w:val="22"/>
          <w:szCs w:val="22"/>
        </w:rPr>
        <w:t>.</w:t>
      </w:r>
      <w:r>
        <w:rPr>
          <w:b/>
          <w:sz w:val="22"/>
          <w:szCs w:val="22"/>
        </w:rPr>
      </w:r>
    </w:p>
    <w:p>
      <w:pPr>
        <w:spacing w:before="0"/>
        <w:jc w:val="both"/>
        <w:rPr>
          <w:b/>
          <w:sz w:val="22"/>
          <w:szCs w:val="22"/>
        </w:rPr>
      </w:pPr>
      <w:r>
        <w:rPr>
          <w:b/>
          <w:sz w:val="22"/>
          <w:szCs w:val="22"/>
        </w:rPr>
        <w:t>10.4. Para as empresas ME e EPP’s, será necessário apresentar o anexo XII juntamente com os demais documentos do item 10.3 para poderem usurfruir dos benefícios da Lei 123/2006.</w:t>
      </w:r>
    </w:p>
    <w:p>
      <w:pPr>
        <w:spacing w:before="0"/>
        <w:jc w:val="both"/>
        <w:rPr>
          <w:b/>
          <w:color w:val="000000"/>
          <w:sz w:val="22"/>
          <w:szCs w:val="22"/>
        </w:rPr>
      </w:pPr>
      <w:r>
        <w:rPr>
          <w:b/>
          <w:color w:val="000000"/>
          <w:sz w:val="22"/>
          <w:szCs w:val="22"/>
        </w:rPr>
      </w:r>
    </w:p>
    <w:p>
      <w:pPr>
        <w:spacing w:before="0"/>
        <w:jc w:val="both"/>
        <w:rPr>
          <w:b/>
          <w:bCs/>
          <w:color w:val="000000"/>
          <w:sz w:val="22"/>
          <w:szCs w:val="22"/>
        </w:rPr>
      </w:pPr>
      <w:r>
        <w:rPr>
          <w:b/>
          <w:bCs/>
          <w:color w:val="000000"/>
          <w:sz w:val="22"/>
          <w:szCs w:val="22"/>
        </w:rPr>
        <w:t>11 - REGULAMENTOS OPERACIONAIS DO CERTAME</w:t>
      </w:r>
    </w:p>
    <w:p>
      <w:pPr>
        <w:spacing w:before="0"/>
        <w:jc w:val="both"/>
        <w:rPr>
          <w:color w:val="000000"/>
          <w:sz w:val="22"/>
          <w:szCs w:val="22"/>
        </w:rPr>
      </w:pPr>
      <w:r>
        <w:rPr>
          <w:color w:val="000000"/>
          <w:sz w:val="22"/>
          <w:szCs w:val="22"/>
        </w:rPr>
        <w:t>11.1. O certame será conduzido pela Pregoeira, que terá, em especial, as seguintes atribuições:</w:t>
      </w:r>
    </w:p>
    <w:p>
      <w:pPr>
        <w:spacing w:before="0"/>
        <w:jc w:val="both"/>
        <w:rPr>
          <w:color w:val="000000"/>
          <w:sz w:val="22"/>
          <w:szCs w:val="22"/>
        </w:rPr>
      </w:pPr>
      <w:r>
        <w:rPr>
          <w:color w:val="000000"/>
          <w:sz w:val="22"/>
          <w:szCs w:val="22"/>
        </w:rPr>
        <w:t>a) coordenar o processo licitatório;</w:t>
      </w:r>
    </w:p>
    <w:p>
      <w:pPr>
        <w:spacing w:before="0"/>
        <w:jc w:val="both"/>
        <w:rPr>
          <w:color w:val="000000"/>
          <w:sz w:val="22"/>
          <w:szCs w:val="22"/>
        </w:rPr>
      </w:pPr>
      <w:r>
        <w:rPr>
          <w:color w:val="000000"/>
          <w:sz w:val="22"/>
          <w:szCs w:val="22"/>
        </w:rPr>
        <w:t>b) receber, examinar e decidir as impugnações e consultas ao edital, apoiado pelo setor responsável pela sua elaboração;</w:t>
      </w:r>
    </w:p>
    <w:p>
      <w:pPr>
        <w:spacing w:before="0"/>
        <w:jc w:val="both"/>
        <w:rPr>
          <w:color w:val="000000"/>
          <w:sz w:val="22"/>
          <w:szCs w:val="22"/>
        </w:rPr>
      </w:pPr>
      <w:r>
        <w:rPr>
          <w:color w:val="000000"/>
          <w:sz w:val="22"/>
          <w:szCs w:val="22"/>
        </w:rPr>
        <w:t>c) verificar a conformidade da proposta com os requisitos estabelecidos no instrumento convocatório;</w:t>
      </w:r>
    </w:p>
    <w:p>
      <w:pPr>
        <w:spacing w:before="0"/>
        <w:jc w:val="both"/>
        <w:rPr>
          <w:color w:val="000000"/>
          <w:sz w:val="22"/>
          <w:szCs w:val="22"/>
        </w:rPr>
      </w:pPr>
      <w:r>
        <w:rPr>
          <w:color w:val="000000"/>
          <w:sz w:val="22"/>
          <w:szCs w:val="22"/>
        </w:rPr>
        <w:t>d) dirigir a etapa de lances;</w:t>
      </w:r>
    </w:p>
    <w:p>
      <w:pPr>
        <w:spacing w:before="0"/>
        <w:jc w:val="both"/>
        <w:rPr>
          <w:color w:val="000000"/>
          <w:sz w:val="22"/>
          <w:szCs w:val="22"/>
        </w:rPr>
      </w:pPr>
      <w:r>
        <w:rPr>
          <w:color w:val="000000"/>
          <w:sz w:val="22"/>
          <w:szCs w:val="22"/>
        </w:rPr>
        <w:t>e) verificar e julgar as condições de habilitação;</w:t>
      </w:r>
    </w:p>
    <w:p>
      <w:pPr>
        <w:spacing w:before="0"/>
        <w:jc w:val="both"/>
        <w:rPr>
          <w:color w:val="000000"/>
          <w:sz w:val="22"/>
          <w:szCs w:val="22"/>
        </w:rPr>
      </w:pPr>
      <w:r>
        <w:rPr>
          <w:color w:val="000000"/>
          <w:sz w:val="22"/>
          <w:szCs w:val="22"/>
        </w:rPr>
        <w:t>f) receber, examinar e decidir os recursos, encaminhando à autoridade competente quando mantiver sua decisão;</w:t>
      </w:r>
    </w:p>
    <w:p>
      <w:pPr>
        <w:spacing w:before="0"/>
        <w:jc w:val="both"/>
        <w:rPr>
          <w:color w:val="000000"/>
          <w:sz w:val="22"/>
          <w:szCs w:val="22"/>
        </w:rPr>
      </w:pPr>
      <w:r>
        <w:rPr>
          <w:color w:val="000000"/>
          <w:sz w:val="22"/>
          <w:szCs w:val="22"/>
        </w:rPr>
        <w:t>g) indicar o vencedor do certame;</w:t>
      </w:r>
    </w:p>
    <w:p>
      <w:pPr>
        <w:spacing w:before="0"/>
        <w:jc w:val="both"/>
        <w:rPr>
          <w:color w:val="000000"/>
          <w:sz w:val="22"/>
          <w:szCs w:val="22"/>
        </w:rPr>
      </w:pPr>
      <w:r>
        <w:rPr>
          <w:color w:val="000000"/>
          <w:sz w:val="22"/>
          <w:szCs w:val="22"/>
        </w:rPr>
        <w:t>h) adjudicar o objeto, quando não houver recurso, sendo que, em havendo recursos, competirá ao ordenador de despesas a adjudicação;</w:t>
      </w:r>
    </w:p>
    <w:p>
      <w:pPr>
        <w:spacing w:before="0"/>
        <w:jc w:val="both"/>
        <w:rPr>
          <w:color w:val="000000"/>
          <w:sz w:val="22"/>
          <w:szCs w:val="22"/>
        </w:rPr>
      </w:pPr>
      <w:r>
        <w:rPr>
          <w:color w:val="000000"/>
          <w:sz w:val="22"/>
          <w:szCs w:val="22"/>
        </w:rPr>
        <w:t xml:space="preserve">i) conduzir os trabalhos da equipe de apoio; </w:t>
      </w:r>
    </w:p>
    <w:p>
      <w:pPr>
        <w:spacing w:before="0"/>
        <w:jc w:val="both"/>
        <w:rPr>
          <w:color w:val="000000"/>
          <w:sz w:val="22"/>
          <w:szCs w:val="22"/>
        </w:rPr>
      </w:pPr>
      <w:r>
        <w:rPr>
          <w:color w:val="000000"/>
          <w:sz w:val="22"/>
          <w:szCs w:val="22"/>
        </w:rPr>
        <w:t>j) encaminhar o processo devidamente instruído à autoridade superior e propor a homologação.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12 - DAS OBRIGAÇÕES DOS LICITANTES </w:t>
      </w:r>
    </w:p>
    <w:p>
      <w:pPr>
        <w:spacing w:before="0"/>
        <w:jc w:val="both"/>
        <w:rPr>
          <w:color w:val="000000"/>
          <w:sz w:val="22"/>
          <w:szCs w:val="22"/>
        </w:rPr>
      </w:pPr>
      <w:r>
        <w:rPr>
          <w:color w:val="000000"/>
          <w:sz w:val="22"/>
          <w:szCs w:val="22"/>
        </w:rPr>
        <w:t>12.1. Caberá ao licitante interessado em participar do Pregão Presencial:</w:t>
      </w:r>
    </w:p>
    <w:p>
      <w:pPr>
        <w:spacing w:before="0"/>
        <w:jc w:val="both"/>
        <w:rPr>
          <w:color w:val="000000"/>
          <w:sz w:val="22"/>
          <w:szCs w:val="22"/>
        </w:rPr>
      </w:pPr>
      <w:r>
        <w:rPr>
          <w:color w:val="000000"/>
          <w:sz w:val="22"/>
          <w:szCs w:val="22"/>
        </w:rPr>
        <w:t>a) remeter, no prazo estabelecido, exclusivamente, a proposta e, quando for o caso, seus anexos;</w:t>
      </w:r>
    </w:p>
    <w:p>
      <w:pPr>
        <w:spacing w:before="0"/>
        <w:jc w:val="both"/>
        <w:rPr>
          <w:color w:val="000000"/>
          <w:sz w:val="22"/>
          <w:szCs w:val="22"/>
        </w:rPr>
      </w:pPr>
      <w:r>
        <w:rPr>
          <w:color w:val="000000"/>
          <w:sz w:val="22"/>
          <w:szCs w:val="22"/>
        </w:rPr>
        <w:t>b) responsabilizar-se formalmente pelas transações efetuadas em seu nome, assumindo como firmes e verdadeiras suas propostas e lances, inclusive os atos praticados diretamente ou por seu representante;</w:t>
      </w:r>
    </w:p>
    <w:p>
      <w:pPr>
        <w:spacing w:before="0"/>
        <w:jc w:val="both"/>
        <w:rPr>
          <w:color w:val="000000"/>
          <w:sz w:val="22"/>
          <w:szCs w:val="22"/>
        </w:rPr>
      </w:pPr>
      <w:r>
        <w:rPr>
          <w:color w:val="000000"/>
          <w:sz w:val="22"/>
          <w:szCs w:val="22"/>
        </w:rPr>
        <w:t>c) submeter-se às exigências da Lei Federal nº 10.520/02 e, subsidiariamente, da Lei Federal nº 8.666/93, assim como aos termos de participação e condições de contratação constantes neste instrumento convocatório.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13 - DO PEDIDO DE ESCLARECIMENTOS E DA IMPUGNAÇÃO AO EDITAL </w:t>
      </w:r>
    </w:p>
    <w:p>
      <w:pPr>
        <w:spacing w:before="0"/>
        <w:jc w:val="both"/>
        <w:rPr>
          <w:color w:val="000000"/>
          <w:sz w:val="22"/>
          <w:szCs w:val="22"/>
        </w:rPr>
      </w:pPr>
      <w:r>
        <w:rPr>
          <w:color w:val="000000"/>
          <w:sz w:val="22"/>
          <w:szCs w:val="22"/>
        </w:rPr>
        <w:t>13.1. Até dois dias úteis antes da data fixada para abertura da sessão pública, qualquer pessoa poderá impugnar o ato convocatório deste Pregão.</w:t>
      </w:r>
      <w:r>
        <w:rPr>
          <w:b/>
          <w:bCs/>
          <w:color w:val="000000"/>
          <w:sz w:val="22"/>
          <w:szCs w:val="22"/>
        </w:rPr>
        <w:t xml:space="preserve"> </w:t>
      </w:r>
      <w:r>
        <w:rPr>
          <w:color w:val="000000"/>
          <w:sz w:val="22"/>
          <w:szCs w:val="22"/>
        </w:rPr>
      </w:r>
    </w:p>
    <w:p>
      <w:pPr>
        <w:spacing w:before="0"/>
        <w:jc w:val="both"/>
        <w:rPr>
          <w:color w:val="000000"/>
          <w:sz w:val="22"/>
          <w:szCs w:val="22"/>
        </w:rPr>
      </w:pPr>
      <w:r>
        <w:rPr>
          <w:color w:val="000000"/>
          <w:sz w:val="22"/>
          <w:szCs w:val="22"/>
        </w:rPr>
        <w:t xml:space="preserve">13.2. Caberá o pregoeiro, auxiliado pelo setor responsável pela elaboração deste edital, decidir sobre a impugnação no prazo de até </w:t>
      </w:r>
      <w:r>
        <w:rPr>
          <w:b/>
          <w:color w:val="000000"/>
          <w:sz w:val="22"/>
          <w:szCs w:val="22"/>
          <w:u w:color="auto" w:val="single"/>
        </w:rPr>
        <w:t>24 (</w:t>
      </w:r>
      <w:r>
        <w:rPr>
          <w:b/>
          <w:bCs/>
          <w:color w:val="000000"/>
          <w:sz w:val="22"/>
          <w:szCs w:val="22"/>
          <w:u w:color="auto" w:val="single"/>
        </w:rPr>
        <w:t>vinte e quatro) horas</w:t>
      </w:r>
      <w:r>
        <w:rPr>
          <w:color w:val="000000"/>
          <w:sz w:val="22"/>
          <w:szCs w:val="22"/>
        </w:rPr>
        <w:t>.</w:t>
      </w:r>
    </w:p>
    <w:p>
      <w:pPr>
        <w:spacing w:before="0"/>
        <w:jc w:val="both"/>
        <w:rPr>
          <w:color w:val="000000"/>
          <w:sz w:val="22"/>
          <w:szCs w:val="22"/>
        </w:rPr>
      </w:pPr>
      <w:r>
        <w:rPr>
          <w:color w:val="000000"/>
          <w:sz w:val="22"/>
          <w:szCs w:val="22"/>
        </w:rPr>
        <w:t>13.3. Caso o pregoeiro decida pela não impugnação do ato convocatório, deverá encaminhar o processo para a autoridade competente – ordenadora da despesa - a quem competirá, nesse caso, ratificar ou alterar a decisão do pregoeiro.</w:t>
      </w:r>
    </w:p>
    <w:p>
      <w:pPr>
        <w:spacing w:before="0"/>
        <w:jc w:val="both"/>
        <w:rPr>
          <w:color w:val="000000"/>
          <w:sz w:val="22"/>
          <w:szCs w:val="22"/>
        </w:rPr>
      </w:pPr>
      <w:r>
        <w:rPr>
          <w:color w:val="000000"/>
          <w:sz w:val="22"/>
          <w:szCs w:val="22"/>
        </w:rPr>
        <w:t>13.4. Acolhida a impugnação contra o ato convocatório, será definida e publicada nova data para realização do certame.</w:t>
      </w:r>
    </w:p>
    <w:p>
      <w:pPr>
        <w:spacing w:before="0"/>
        <w:jc w:val="both"/>
        <w:rPr>
          <w:color w:val="000000"/>
          <w:sz w:val="22"/>
          <w:szCs w:val="22"/>
        </w:rPr>
      </w:pPr>
      <w:r>
        <w:rPr>
          <w:color w:val="000000"/>
          <w:sz w:val="22"/>
          <w:szCs w:val="22"/>
        </w:rPr>
        <w:t xml:space="preserve">13.5. Os </w:t>
      </w:r>
      <w:r>
        <w:rPr>
          <w:bCs/>
          <w:color w:val="000000"/>
          <w:sz w:val="22"/>
          <w:szCs w:val="22"/>
        </w:rPr>
        <w:t>pedidos de esclarecimentos</w:t>
      </w:r>
      <w:r>
        <w:rPr>
          <w:color w:val="000000"/>
          <w:sz w:val="22"/>
          <w:szCs w:val="22"/>
        </w:rPr>
        <w:t xml:space="preserve"> referentes a este processo licitatório deverão ser enviados o pregoeiro, até </w:t>
      </w:r>
      <w:r>
        <w:rPr>
          <w:b/>
          <w:bCs/>
          <w:color w:val="000000"/>
          <w:sz w:val="22"/>
          <w:szCs w:val="22"/>
        </w:rPr>
        <w:t>dois dias úteis anteriores</w:t>
      </w:r>
      <w:r>
        <w:rPr>
          <w:color w:val="000000"/>
          <w:sz w:val="22"/>
          <w:szCs w:val="22"/>
        </w:rPr>
        <w:t xml:space="preserve"> à data fixada para abertura da sessão pública, no endereço indicado neste edital.</w:t>
      </w:r>
    </w:p>
    <w:p>
      <w:pPr>
        <w:spacing w:before="0"/>
        <w:jc w:val="both"/>
        <w:rPr>
          <w:color w:val="000000"/>
          <w:sz w:val="22"/>
          <w:szCs w:val="22"/>
        </w:rPr>
      </w:pPr>
      <w:r>
        <w:rPr>
          <w:color w:val="00000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14 - DA APRESENTAÇÃO DE PROPOSTA </w:t>
      </w:r>
    </w:p>
    <w:p>
      <w:pPr>
        <w:spacing w:before="0"/>
        <w:jc w:val="both"/>
        <w:rPr>
          <w:sz w:val="22"/>
          <w:szCs w:val="22"/>
        </w:rPr>
      </w:pPr>
      <w:r>
        <w:rPr>
          <w:sz w:val="22"/>
          <w:szCs w:val="22"/>
        </w:rPr>
        <w:t>14.1. Os licitantes deverão encaminhar proposta com a descrição do objeto ofertado e com o preço, observando a data e o horário limite que é até às 08 horas para o seu acolhimento no protocolo desta municipalidade, observando os itens 1.3, 1.4 e 1.5 deste Edital, quando, então, encerrar-se-á, a fase de recebimento de propostas.</w:t>
      </w:r>
    </w:p>
    <w:p>
      <w:pPr>
        <w:spacing w:before="0"/>
        <w:jc w:val="both"/>
        <w:rPr>
          <w:color w:val="000000"/>
          <w:sz w:val="22"/>
          <w:szCs w:val="22"/>
        </w:rPr>
      </w:pPr>
      <w:r>
        <w:rPr>
          <w:color w:val="000000"/>
          <w:sz w:val="22"/>
          <w:szCs w:val="22"/>
        </w:rPr>
        <w:t>14.2. Para participação no Pregão, o licitante deverá manifestar que cumpre plenamente os requisitos de habilitação e que sua proposta está em conformidade com as exigências do instrumento convocatório.</w:t>
      </w:r>
    </w:p>
    <w:p>
      <w:pPr>
        <w:spacing w:before="0"/>
        <w:jc w:val="both"/>
        <w:rPr>
          <w:color w:val="000000"/>
          <w:sz w:val="22"/>
          <w:szCs w:val="22"/>
        </w:rPr>
      </w:pPr>
      <w:r>
        <w:rPr>
          <w:color w:val="000000"/>
          <w:sz w:val="22"/>
          <w:szCs w:val="22"/>
        </w:rPr>
        <w:t xml:space="preserve">14.3. A declaração falsa relativa ao cumprimento dos requisitos de habilitação e proposta sujeitará o licitante às sanções previstas na legislação de regência. </w:t>
      </w:r>
    </w:p>
    <w:p>
      <w:pPr>
        <w:spacing w:before="0"/>
        <w:jc w:val="both"/>
        <w:rPr>
          <w:color w:val="000000"/>
          <w:sz w:val="22"/>
          <w:szCs w:val="22"/>
        </w:rPr>
      </w:pPr>
      <w:r>
        <w:rPr>
          <w:color w:val="000000"/>
          <w:sz w:val="22"/>
          <w:szCs w:val="22"/>
        </w:rPr>
        <w:t>14.4. A proposta comercial vencedora deverá ser apresentada em conformidade com o modelo contido no ANEXO III, acompanhada de todos os documentos nele enumerados, observando-se o que se segue, sem prejuízo para as demais instruções constantes deste edital e seus anexos:</w:t>
      </w:r>
    </w:p>
    <w:p>
      <w:pPr>
        <w:spacing w:before="0"/>
        <w:jc w:val="both"/>
        <w:rPr>
          <w:color w:val="000000"/>
          <w:sz w:val="22"/>
          <w:szCs w:val="22"/>
        </w:rPr>
      </w:pPr>
      <w:r>
        <w:rPr>
          <w:color w:val="000000"/>
          <w:sz w:val="22"/>
          <w:szCs w:val="22"/>
        </w:rPr>
        <w:t>a) Datilografá-la ou digitá-la, em 01 via, sem emendas, rasuras ou entrelinhas que venham a ensejar dúvidas, reconhecendo a plena aceitação e aplicação, ao contrato, das normas e critérios deste Edital;</w:t>
      </w:r>
    </w:p>
    <w:p>
      <w:pPr>
        <w:spacing w:before="0"/>
        <w:jc w:val="both"/>
        <w:rPr>
          <w:color w:val="000000"/>
          <w:sz w:val="22"/>
          <w:szCs w:val="22"/>
        </w:rPr>
      </w:pPr>
      <w:r>
        <w:rPr>
          <w:color w:val="000000"/>
          <w:sz w:val="22"/>
          <w:szCs w:val="22"/>
        </w:rPr>
        <w:t>b) Assinar a proposta na parte final e rubricá-la em todas as suas folhas.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15 - DO JULGAMENTO E CLASSIFICAÇÃO DAS PROPOSTAS </w:t>
      </w:r>
    </w:p>
    <w:p>
      <w:pPr>
        <w:spacing w:before="0"/>
        <w:jc w:val="both"/>
        <w:rPr>
          <w:color w:val="000000"/>
          <w:sz w:val="22"/>
          <w:szCs w:val="22"/>
        </w:rPr>
      </w:pPr>
      <w:r>
        <w:rPr>
          <w:color w:val="000000"/>
          <w:sz w:val="22"/>
          <w:szCs w:val="22"/>
        </w:rPr>
        <w:t>15.1. Serão consideradas classificadas para a fase de lances verbais a proposta de menor preço e todas aquelas com preços situados no intervalo de até 10% acima daquele.</w:t>
      </w:r>
    </w:p>
    <w:p>
      <w:pPr>
        <w:spacing w:before="0"/>
        <w:jc w:val="both"/>
        <w:rPr>
          <w:color w:val="000000"/>
          <w:sz w:val="22"/>
          <w:szCs w:val="22"/>
        </w:rPr>
      </w:pPr>
      <w:r>
        <w:rPr>
          <w:color w:val="000000"/>
          <w:sz w:val="22"/>
          <w:szCs w:val="22"/>
        </w:rPr>
        <w:t>15.2. Quando não houver no mínimo 3 (três) propostas nas condições definidas no subitem anterior, serão consideradas classificadas para essa fase competitiva as melhores propostas subsequentes, até o máximo de 3 (três), com valores distintos, ou seja, se houver propostas com empate de valores, as mesmas serão consideradas com uma única proposta, ou seja, além destas, serão classificadas mais 02 (duas) propostas.</w:t>
      </w:r>
    </w:p>
    <w:p>
      <w:pPr>
        <w:spacing w:before="0"/>
        <w:jc w:val="both"/>
        <w:rPr>
          <w:color w:val="000000"/>
          <w:sz w:val="22"/>
          <w:szCs w:val="22"/>
        </w:rPr>
      </w:pPr>
      <w:r>
        <w:rPr>
          <w:color w:val="000000"/>
          <w:sz w:val="22"/>
          <w:szCs w:val="22"/>
        </w:rPr>
        <w:t>15.3. Para as proponentes classificadas será facultada a apresentação verbal de lances sucessivos, de valores distintos e decrescentes, encerrando-se essa fase quando não houver mais lances.</w:t>
      </w:r>
    </w:p>
    <w:p>
      <w:pPr>
        <w:spacing w:before="0"/>
        <w:jc w:val="both"/>
        <w:rPr>
          <w:color w:val="000000"/>
          <w:sz w:val="22"/>
          <w:szCs w:val="22"/>
        </w:rPr>
      </w:pPr>
      <w:r>
        <w:rPr>
          <w:color w:val="000000"/>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pPr>
        <w:spacing w:before="0"/>
        <w:jc w:val="both"/>
        <w:rPr>
          <w:color w:val="000000"/>
          <w:sz w:val="22"/>
          <w:szCs w:val="22"/>
        </w:rPr>
      </w:pPr>
      <w:r>
        <w:rPr>
          <w:color w:val="000000"/>
          <w:sz w:val="22"/>
          <w:szCs w:val="22"/>
        </w:rPr>
        <w:t>15.5. Serão desclassificadas as propostas que não atenderem às exigências essenciais deste Edital e de seus Anexos, bem como as omissas e as que apresentarem irregularidades ou defeitos capazes de dificultar o julgamento.</w:t>
      </w:r>
    </w:p>
    <w:p>
      <w:pPr>
        <w:spacing w:before="0"/>
        <w:jc w:val="both"/>
        <w:rPr>
          <w:color w:val="000000"/>
          <w:sz w:val="22"/>
          <w:szCs w:val="22"/>
        </w:rPr>
      </w:pPr>
      <w:r>
        <w:rPr>
          <w:color w:val="000000"/>
          <w:sz w:val="22"/>
          <w:szCs w:val="22"/>
        </w:rPr>
        <w:t>15.6. Após a fase de lances verbais será declarada vencedora a proposta de menor preço por lote, se a proposta não for aceitável por apresentar preço inexequível ou acima dos valores praticados pelo mercado, será examinada a proposta subsequente, e assim sucessivamente.</w:t>
      </w:r>
    </w:p>
    <w:p>
      <w:pPr>
        <w:spacing w:before="0"/>
        <w:jc w:val="both"/>
        <w:rPr>
          <w:color w:val="000000"/>
          <w:sz w:val="22"/>
          <w:szCs w:val="22"/>
        </w:rPr>
      </w:pPr>
      <w:r>
        <w:rPr>
          <w:color w:val="000000"/>
          <w:sz w:val="22"/>
          <w:szCs w:val="22"/>
        </w:rPr>
        <w:t>15.7. Caso haja empate no valor das propostas escritas, o Pregoeiro decidirá por sorteio à ordem dos lances verbais.</w:t>
      </w:r>
    </w:p>
    <w:p>
      <w:pPr>
        <w:spacing w:before="0"/>
        <w:jc w:val="both"/>
        <w:rPr>
          <w:color w:val="000000"/>
          <w:sz w:val="22"/>
          <w:szCs w:val="22"/>
        </w:rPr>
      </w:pPr>
      <w:r>
        <w:rPr>
          <w:color w:val="000000"/>
          <w:sz w:val="22"/>
          <w:szCs w:val="22"/>
        </w:rPr>
        <w:t>15.8. O Pregoeiro convidará individualmente os licitantes classificados, de forma sequencial, a apresentar lances verbais, a partir do autor da proposta classificada de maior preço e os demais, em ordem decrescente de valor.</w:t>
      </w:r>
    </w:p>
    <w:p>
      <w:pPr>
        <w:spacing w:before="0"/>
        <w:jc w:val="both"/>
        <w:rPr>
          <w:color w:val="000000"/>
          <w:sz w:val="22"/>
          <w:szCs w:val="22"/>
        </w:rPr>
      </w:pPr>
      <w:r>
        <w:rPr>
          <w:color w:val="000000"/>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pPr>
        <w:spacing w:before="0"/>
        <w:jc w:val="both"/>
        <w:rPr>
          <w:color w:val="000000"/>
          <w:sz w:val="22"/>
          <w:szCs w:val="22"/>
        </w:rPr>
      </w:pPr>
      <w:r>
        <w:rPr>
          <w:color w:val="000000"/>
          <w:sz w:val="22"/>
          <w:szCs w:val="22"/>
        </w:rPr>
        <w:t>15.10. A presente licitação será julgada sob o critério de menor preço por lote.</w:t>
      </w:r>
    </w:p>
    <w:p>
      <w:pPr>
        <w:spacing w:before="0"/>
        <w:jc w:val="both"/>
        <w:rPr>
          <w:color w:val="000000"/>
          <w:sz w:val="22"/>
          <w:szCs w:val="22"/>
        </w:rPr>
      </w:pPr>
      <w:r>
        <w:rPr>
          <w:color w:val="000000"/>
          <w:sz w:val="22"/>
          <w:szCs w:val="22"/>
        </w:rPr>
        <w:t>15.11. Aberta a sessão pública, o pregoeiro verificará as propostas apresentadas, desclassificando aquelas que não estejam em conformidade com os requisitos estabelecidos no edital.</w:t>
      </w:r>
    </w:p>
    <w:p>
      <w:pPr>
        <w:spacing w:before="0"/>
        <w:jc w:val="both"/>
        <w:rPr>
          <w:color w:val="000000"/>
          <w:sz w:val="22"/>
          <w:szCs w:val="22"/>
        </w:rPr>
      </w:pPr>
      <w:r>
        <w:rPr>
          <w:color w:val="000000"/>
          <w:sz w:val="22"/>
          <w:szCs w:val="22"/>
        </w:rPr>
        <w:t>15.12. A desclassificação de proposta será fundamentada e registrada.</w:t>
      </w:r>
    </w:p>
    <w:p>
      <w:pPr>
        <w:spacing w:before="0"/>
        <w:jc w:val="both"/>
        <w:rPr>
          <w:color w:val="000000"/>
          <w:sz w:val="22"/>
          <w:szCs w:val="22"/>
        </w:rPr>
      </w:pPr>
      <w:r>
        <w:rPr>
          <w:color w:val="000000"/>
          <w:sz w:val="22"/>
          <w:szCs w:val="22"/>
        </w:rPr>
        <w:t>15.13. Classificadas as propostas, o pregoeiro dará início à fase competitiva, quando então os licitantes poderão apresentar lances.</w:t>
      </w:r>
    </w:p>
    <w:p>
      <w:pPr>
        <w:spacing w:before="0"/>
        <w:jc w:val="both"/>
        <w:rPr>
          <w:color w:val="000000"/>
          <w:sz w:val="22"/>
          <w:szCs w:val="22"/>
        </w:rPr>
      </w:pPr>
      <w:r>
        <w:rPr>
          <w:color w:val="000000"/>
          <w:sz w:val="22"/>
          <w:szCs w:val="22"/>
        </w:rPr>
        <w:t>15.14.  Os licitantes poderão oferecer lances sucessivos, observados o horário fixado para abertura da sessão e as regras estabelecidas neste edital.</w:t>
      </w:r>
    </w:p>
    <w:p>
      <w:pPr>
        <w:spacing w:before="0"/>
        <w:jc w:val="both"/>
        <w:rPr>
          <w:color w:val="000000"/>
          <w:sz w:val="22"/>
          <w:szCs w:val="22"/>
        </w:rPr>
      </w:pPr>
      <w:r>
        <w:rPr>
          <w:color w:val="000000"/>
          <w:sz w:val="22"/>
          <w:szCs w:val="22"/>
        </w:rPr>
        <w:t>15.15. O licitante somente poderá oferecer lance inferior ao último por ele.</w:t>
      </w:r>
    </w:p>
    <w:p>
      <w:pPr>
        <w:spacing w:before="0"/>
        <w:jc w:val="both"/>
        <w:rPr>
          <w:color w:val="000000"/>
          <w:sz w:val="22"/>
          <w:szCs w:val="22"/>
        </w:rPr>
      </w:pPr>
      <w:r>
        <w:rPr>
          <w:color w:val="000000"/>
          <w:sz w:val="22"/>
          <w:szCs w:val="22"/>
        </w:rPr>
        <w:t>15.16. Não serão aceitos dois ou mais lances iguais, prevalecendo aquele que for recebido e registrado primeiro.</w:t>
      </w:r>
    </w:p>
    <w:p>
      <w:pPr>
        <w:spacing w:before="0"/>
        <w:jc w:val="both"/>
        <w:rPr>
          <w:color w:val="000000"/>
          <w:sz w:val="22"/>
          <w:szCs w:val="22"/>
        </w:rPr>
      </w:pPr>
      <w:r>
        <w:rPr>
          <w:color w:val="000000"/>
          <w:sz w:val="22"/>
          <w:szCs w:val="22"/>
        </w:rPr>
        <w:t>15.17. Durante a sessão pública, os licitantes serão informados, do valor do menor lance registrado.</w:t>
      </w:r>
    </w:p>
    <w:p>
      <w:pPr>
        <w:spacing w:before="0"/>
        <w:jc w:val="both"/>
        <w:rPr>
          <w:color w:val="000000"/>
          <w:sz w:val="22"/>
          <w:szCs w:val="22"/>
        </w:rPr>
      </w:pPr>
      <w:r>
        <w:rPr>
          <w:color w:val="000000"/>
          <w:sz w:val="22"/>
          <w:szCs w:val="22"/>
        </w:rPr>
        <w:t>15.18. A etapa de lances da sessão pública será encerrada por decisão do pregoeiro, após comunicar a todos os participantes.</w:t>
      </w:r>
    </w:p>
    <w:p>
      <w:pPr>
        <w:spacing w:before="0"/>
        <w:jc w:val="both"/>
        <w:rPr>
          <w:color w:val="000000"/>
          <w:sz w:val="22"/>
          <w:szCs w:val="22"/>
        </w:rPr>
      </w:pPr>
      <w:r>
        <w:rPr>
          <w:color w:val="000000"/>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pPr>
        <w:spacing w:before="0"/>
        <w:jc w:val="both"/>
        <w:rPr>
          <w:color w:val="000000"/>
          <w:sz w:val="22"/>
          <w:szCs w:val="22"/>
        </w:rPr>
      </w:pPr>
      <w:r>
        <w:rPr>
          <w:color w:val="000000"/>
          <w:sz w:val="22"/>
          <w:szCs w:val="22"/>
        </w:rPr>
        <w:t>15.20. Será declarada vencedora a proposta de menor preço por lote se a proposta não for aceitável por apresentar preço inexequível ou acima dos valores praticados pelo mercado, será examinada a proposta subsequente, e assim sucessivamente.</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16 - DA HABILITAÇÃO DOS LICITANTES CLASSIFICADOS</w:t>
      </w:r>
    </w:p>
    <w:p>
      <w:pPr>
        <w:spacing w:before="0"/>
        <w:jc w:val="both"/>
        <w:rPr>
          <w:color w:val="000000"/>
          <w:sz w:val="22"/>
          <w:szCs w:val="22"/>
        </w:rPr>
      </w:pPr>
      <w:r>
        <w:rPr>
          <w:color w:val="000000"/>
          <w:sz w:val="22"/>
          <w:szCs w:val="22"/>
        </w:rPr>
        <w:t>16.1. Encerrada a etapa de lances e o exame das propostas classificadas quanto à compatibilidade do preço em relação ao estimado para contratação, exequibilidade e adequação, o pregoeiro verificará a habilitação dos licitantes classificados observados o limite de fornecedores a serem registrados.</w:t>
      </w:r>
    </w:p>
    <w:p>
      <w:pPr>
        <w:spacing w:before="0"/>
        <w:jc w:val="both"/>
        <w:rPr>
          <w:rStyle w:val="char3"/>
          <w:i w:val="0"/>
          <w:iCs w:val="0"/>
          <w:color w:val="000000"/>
          <w:sz w:val="22"/>
          <w:szCs w:val="22"/>
        </w:rPr>
      </w:pPr>
      <w:r>
        <w:rPr>
          <w:rStyle w:val="char3"/>
          <w:i w:val="0"/>
          <w:iCs w:val="0"/>
          <w:color w:val="000000"/>
          <w:sz w:val="22"/>
          <w:szCs w:val="22"/>
        </w:rPr>
        <w:t>16</w:t>
      </w:r>
      <w:r>
        <w:rPr>
          <w:rStyle w:val="char3"/>
          <w:i w:val="0"/>
          <w:iCs w:val="0"/>
          <w:color w:val="000000"/>
          <w:sz w:val="22"/>
          <w:szCs w:val="22"/>
        </w:rPr>
        <w:t>.2. As proponentes</w:t>
      </w:r>
      <w:r>
        <w:rPr>
          <w:rStyle w:val="char3"/>
          <w:i w:val="0"/>
          <w:iCs w:val="0"/>
          <w:color w:val="000000"/>
          <w:sz w:val="22"/>
          <w:szCs w:val="22"/>
        </w:rPr>
        <w:t xml:space="preserve"> deverão apresentar declaração, devidamente assinada pelo representante legal da empresa, sob as penalidades cabíveis, de que:</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a) Não se encontra declarada inidônea para licitar ou contratar com órgãos da Administração Pública Federal, Estadual, </w:t>
      </w:r>
      <w:r>
        <w:rPr>
          <w:rStyle w:val="char3"/>
          <w:i w:val="0"/>
          <w:iCs w:val="0"/>
          <w:color w:val="000000"/>
          <w:sz w:val="22"/>
          <w:szCs w:val="22"/>
        </w:rPr>
        <w:t>Municipal e do Distrito Federal</w:t>
      </w:r>
      <w:r>
        <w:rPr>
          <w:rStyle w:val="char3"/>
          <w:i w:val="0"/>
          <w:iCs w:val="0"/>
          <w:color w:val="000000"/>
          <w:sz w:val="22"/>
          <w:szCs w:val="22"/>
        </w:rPr>
        <w:t>;</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b) Declara que não possui em seu quadro de pessoal </w:t>
      </w:r>
      <w:r>
        <w:rPr>
          <w:rStyle w:val="char3"/>
          <w:i w:val="0"/>
          <w:iCs w:val="0"/>
          <w:color w:val="000000"/>
          <w:sz w:val="22"/>
          <w:szCs w:val="22"/>
        </w:rPr>
        <w:t>empregado (</w:t>
      </w:r>
      <w:r>
        <w:rPr>
          <w:rStyle w:val="char3"/>
          <w:i w:val="0"/>
          <w:iCs w:val="0"/>
          <w:color w:val="000000"/>
          <w:sz w:val="22"/>
          <w:szCs w:val="22"/>
        </w:rPr>
        <w:t xml:space="preserve">s) com menos de 18 anos, em trabalho noturno, </w:t>
      </w:r>
      <w:r>
        <w:rPr>
          <w:rStyle w:val="char3"/>
          <w:i w:val="0"/>
          <w:iCs w:val="0"/>
          <w:color w:val="000000"/>
          <w:sz w:val="22"/>
          <w:szCs w:val="22"/>
        </w:rPr>
        <w:t>perigoso ou insalubre e menores de 16 (dezesseis)</w:t>
      </w:r>
      <w:r>
        <w:rPr>
          <w:rStyle w:val="char3"/>
          <w:i w:val="0"/>
          <w:iCs w:val="0"/>
          <w:color w:val="000000"/>
          <w:sz w:val="22"/>
          <w:szCs w:val="22"/>
        </w:rPr>
        <w:t xml:space="preserve"> anos, em qualquer trabalho, salvo na condição de aprendiz, a partir de 14 anos, nos termos do art. 7º, XXXIII, da Constituição Federal e art. 27, V, da Lei 8666/93.</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c) Todos os requisitos pedidos no anexo IV do presente Edital</w:t>
      </w:r>
      <w:r>
        <w:rPr>
          <w:rStyle w:val="char3"/>
          <w:i w:val="0"/>
          <w:iCs w:val="0"/>
          <w:color w:val="000000"/>
          <w:sz w:val="22"/>
          <w:szCs w:val="22"/>
        </w:rPr>
        <w:t xml:space="preserve"> e demais declarações do Edital.</w:t>
      </w:r>
      <w:r>
        <w:rPr>
          <w:rStyle w:val="char3"/>
          <w:i w:val="0"/>
          <w:iCs w:val="0"/>
          <w:color w:val="000000"/>
          <w:sz w:val="22"/>
          <w:szCs w:val="22"/>
        </w:rPr>
      </w:r>
    </w:p>
    <w:p>
      <w:pPr>
        <w:spacing w:before="0"/>
        <w:jc w:val="both"/>
        <w:rPr>
          <w:rStyle w:val="char3"/>
          <w:i w:val="0"/>
          <w:iCs w:val="0"/>
          <w:sz w:val="22"/>
          <w:szCs w:val="22"/>
        </w:rPr>
      </w:pPr>
      <w:r>
        <w:rPr>
          <w:rStyle w:val="char3"/>
          <w:i w:val="0"/>
          <w:iCs w:val="0"/>
          <w:sz w:val="22"/>
          <w:szCs w:val="22"/>
        </w:rPr>
        <w:t>d) O licitante que apresentar os documentos referentes à Habilitação Jurídica no ato do Credenciamento está dispensado de atender o item 1.1. Da Habilitação Jurídica, anexo IV deste edital.</w:t>
      </w:r>
      <w:r>
        <w:rPr>
          <w:rStyle w:val="char3"/>
          <w:i w:val="0"/>
          <w:iCs w:val="0"/>
          <w:sz w:val="22"/>
          <w:szCs w:val="22"/>
        </w:rPr>
        <w:t xml:space="preserve"> </w:t>
      </w:r>
      <w:r>
        <w:rPr>
          <w:rStyle w:val="char3"/>
          <w:i w:val="0"/>
          <w:iCs w:val="0"/>
          <w:sz w:val="22"/>
          <w:szCs w:val="22"/>
        </w:rPr>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17 - DOS RECURSOS</w:t>
      </w:r>
    </w:p>
    <w:p>
      <w:pPr>
        <w:spacing w:before="0"/>
        <w:jc w:val="both"/>
        <w:rPr>
          <w:color w:val="000000"/>
          <w:sz w:val="22"/>
          <w:szCs w:val="22"/>
        </w:rPr>
      </w:pPr>
      <w:r>
        <w:rPr>
          <w:color w:val="000000"/>
          <w:sz w:val="22"/>
          <w:szCs w:val="22"/>
        </w:rPr>
        <w:t>17.1. Declarada a vencedora, as demais proponentes presentes poderão manifestar imediata e motivadamente a intenção de recorrer, sendo concedido o prazo de 3 (três) dias  para apresentação das razões e de igual prazo para as contrarrazões, com imediata intimação de todas as presentes e assegurada também imediata vista dos autos.</w:t>
      </w:r>
    </w:p>
    <w:p>
      <w:pPr>
        <w:spacing w:before="0"/>
        <w:jc w:val="both"/>
        <w:rPr>
          <w:color w:val="000000"/>
          <w:sz w:val="22"/>
          <w:szCs w:val="22"/>
        </w:rPr>
      </w:pPr>
      <w:r>
        <w:rPr>
          <w:color w:val="000000"/>
          <w:sz w:val="22"/>
          <w:szCs w:val="22"/>
        </w:rPr>
        <w:t>17.2. A falta de manifestação imediata e motivada do licitante quanto à intenção de recorrer, nos termos do item anterior, importará na decadência desse direito.</w:t>
      </w:r>
    </w:p>
    <w:p>
      <w:pPr>
        <w:spacing w:before="0"/>
        <w:jc w:val="both"/>
        <w:rPr>
          <w:color w:val="000000"/>
          <w:sz w:val="22"/>
          <w:szCs w:val="22"/>
        </w:rPr>
      </w:pPr>
      <w:r>
        <w:rPr>
          <w:color w:val="000000"/>
          <w:sz w:val="22"/>
          <w:szCs w:val="22"/>
        </w:rPr>
        <w:t xml:space="preserve">17.3. O acolhimento de recurso importará na invalidação apenas dos atos insuscetíveis de aproveitamento. </w:t>
      </w:r>
    </w:p>
    <w:p>
      <w:pPr>
        <w:spacing w:before="0"/>
        <w:jc w:val="both"/>
        <w:rPr>
          <w:color w:val="000000"/>
          <w:sz w:val="22"/>
          <w:szCs w:val="22"/>
        </w:rPr>
      </w:pPr>
      <w:r>
        <w:rPr>
          <w:color w:val="000000"/>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pPr>
        <w:spacing w:before="0"/>
        <w:jc w:val="both"/>
        <w:rPr>
          <w:color w:val="000000"/>
          <w:sz w:val="22"/>
          <w:szCs w:val="22"/>
        </w:rPr>
      </w:pPr>
      <w:r>
        <w:rPr>
          <w:color w:val="000000"/>
          <w:sz w:val="22"/>
          <w:szCs w:val="22"/>
        </w:rPr>
        <w:t>17.5. Os recursos e contrarrazões de recurso deverão ser dirigidos o pregoeiro e protocolados junto ao órgão promotor do certame, localizado no endereço indicado neste edital, em dias úteis, no horário de 7h30 as 11h30 e das 12h30 as 16h30.</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18 - DA ADJUDICAÇÃO E DA CONVOCAÇÃO PARA ASSINAR A ATA DE REGISTRO DE PREÇOS E ASSINAR O CONTRATO</w:t>
      </w:r>
    </w:p>
    <w:p>
      <w:pPr>
        <w:spacing w:before="0"/>
        <w:jc w:val="both"/>
        <w:rPr>
          <w:color w:val="000000"/>
          <w:sz w:val="22"/>
          <w:szCs w:val="22"/>
        </w:rPr>
      </w:pPr>
      <w:r>
        <w:rPr>
          <w:color w:val="000000"/>
          <w:sz w:val="22"/>
          <w:szCs w:val="22"/>
        </w:rPr>
        <w:t>18.1. Decididos os recursos e constatada a regularidade dos atos praticados, a autoridade competente adjudicará o objeto e homologará o procedimento licitatório.</w:t>
      </w:r>
    </w:p>
    <w:p>
      <w:pPr>
        <w:spacing w:before="0"/>
        <w:jc w:val="both"/>
        <w:rPr>
          <w:color w:val="000000"/>
          <w:sz w:val="22"/>
          <w:szCs w:val="22"/>
        </w:rPr>
      </w:pPr>
      <w:r>
        <w:rPr>
          <w:color w:val="000000"/>
          <w:sz w:val="22"/>
          <w:szCs w:val="22"/>
        </w:rPr>
        <w:t>18.2. Após a homologação referida no item anterior, o adjudicatário será convocado para assinar a Ata de Registro de Preços no prazo de até 05 (cinco) dias úteis.</w:t>
      </w:r>
    </w:p>
    <w:p>
      <w:pPr>
        <w:spacing w:before="0"/>
        <w:jc w:val="both"/>
        <w:rPr>
          <w:color w:val="000000"/>
          <w:sz w:val="22"/>
          <w:szCs w:val="22"/>
        </w:rPr>
      </w:pPr>
      <w:r>
        <w:rPr>
          <w:color w:val="000000"/>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pPr>
        <w:spacing w:before="0"/>
        <w:jc w:val="both"/>
        <w:rPr>
          <w:color w:val="000000"/>
          <w:sz w:val="22"/>
          <w:szCs w:val="22"/>
        </w:rPr>
      </w:pPr>
      <w:r>
        <w:rPr>
          <w:color w:val="000000"/>
          <w:sz w:val="22"/>
          <w:szCs w:val="22"/>
        </w:rPr>
        <w:t>18.4. No ato de assinatura da Ata de Registro de Preços e do Contrato, será exigida a comprovação das condições de habilitação consignadas no edital, as quais deverão ser mantidas pelo licitante durante a vigência do pacto.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19 - DAS SANÇÕES ADMINISTRATIVAS</w:t>
      </w:r>
    </w:p>
    <w:p>
      <w:pPr>
        <w:spacing w:before="0"/>
        <w:jc w:val="both"/>
        <w:rPr>
          <w:color w:val="000000"/>
          <w:sz w:val="22"/>
          <w:szCs w:val="22"/>
        </w:rPr>
      </w:pPr>
      <w:r>
        <w:rPr>
          <w:color w:val="000000"/>
          <w:sz w:val="22"/>
          <w:szCs w:val="22"/>
        </w:rPr>
        <w:t>19.1. O atraso injustificado na execução do contrato sujeitará o licitante contratado à aplicação de multa de mora, nas seguintes condições:</w:t>
      </w:r>
    </w:p>
    <w:p>
      <w:pPr>
        <w:spacing w:before="0"/>
        <w:jc w:val="both"/>
        <w:rPr>
          <w:color w:val="000000"/>
          <w:sz w:val="22"/>
          <w:szCs w:val="22"/>
        </w:rPr>
      </w:pPr>
      <w:r>
        <w:rPr>
          <w:color w:val="000000"/>
          <w:sz w:val="22"/>
          <w:szCs w:val="22"/>
        </w:rPr>
        <w:t>19.1.1. Fixa-se a multa de mora em 0,3 % (três décimos por cento) por dia de atraso, a incidir sobre o valor total reajustado do contrato, ou sobre o saldo reajustado não atendido, caso o contrato encontre-se parcialmente executado;</w:t>
      </w:r>
    </w:p>
    <w:p>
      <w:pPr>
        <w:spacing w:before="0"/>
        <w:jc w:val="both"/>
        <w:rPr>
          <w:color w:val="000000"/>
          <w:sz w:val="22"/>
          <w:szCs w:val="22"/>
        </w:rPr>
      </w:pPr>
      <w:r>
        <w:rPr>
          <w:color w:val="000000"/>
          <w:sz w:val="22"/>
          <w:szCs w:val="22"/>
        </w:rPr>
        <w:t>19.1.2. Os dias de atraso serão contabilizados em conformidade com o cronograma de execução do objeto contratual;</w:t>
      </w:r>
    </w:p>
    <w:p>
      <w:pPr>
        <w:spacing w:before="0"/>
        <w:jc w:val="both"/>
        <w:rPr>
          <w:color w:val="000000"/>
          <w:sz w:val="22"/>
          <w:szCs w:val="22"/>
        </w:rPr>
      </w:pPr>
      <w:r>
        <w:rPr>
          <w:color w:val="000000"/>
          <w:sz w:val="22"/>
          <w:szCs w:val="22"/>
        </w:rPr>
        <w:t xml:space="preserve">19.1.3. </w:t>
      </w:r>
      <w:r>
        <w:rPr>
          <w:sz w:val="22"/>
          <w:szCs w:val="22"/>
        </w:rPr>
      </w:r>
      <w:bookmarkStart w:id="0" w:name="_GoBack"/>
      <w:bookmarkEnd w:id="0"/>
      <w:r>
        <w:rPr>
          <w:sz w:val="22"/>
          <w:szCs w:val="22"/>
        </w:rPr>
      </w:r>
      <w:r>
        <w:rPr>
          <w:color w:val="000000"/>
          <w:sz w:val="22"/>
          <w:szCs w:val="22"/>
        </w:rPr>
        <w:t>A</w:t>
      </w:r>
      <w:r>
        <w:rPr>
          <w:color w:val="000000"/>
          <w:sz w:val="22"/>
          <w:szCs w:val="22"/>
        </w:rPr>
        <w:t xml:space="preserve"> aplicação da multa de mora não impede que a Administração rescinda unilateralmente o contrato e aplique as outras sanções previstas na Lei Federal nº. 8.666/93.</w:t>
      </w:r>
      <w:r>
        <w:rPr>
          <w:color w:val="000000"/>
          <w:sz w:val="22"/>
          <w:szCs w:val="22"/>
        </w:rPr>
      </w:r>
    </w:p>
    <w:p>
      <w:pPr>
        <w:spacing w:before="0"/>
        <w:jc w:val="both"/>
        <w:rPr>
          <w:color w:val="000000"/>
          <w:sz w:val="22"/>
          <w:szCs w:val="22"/>
        </w:rPr>
      </w:pPr>
      <w:r>
        <w:rPr>
          <w:color w:val="000000"/>
          <w:sz w:val="22"/>
          <w:szCs w:val="22"/>
        </w:rPr>
        <w:t>19.2. A inexecução total ou parcial do contrato ensejará a aplicação das seguintes sanções ao licitante contratado:</w:t>
      </w:r>
    </w:p>
    <w:p>
      <w:pPr>
        <w:spacing w:before="0"/>
        <w:jc w:val="both"/>
        <w:rPr>
          <w:color w:val="000000"/>
          <w:sz w:val="22"/>
          <w:szCs w:val="22"/>
        </w:rPr>
      </w:pPr>
      <w:r>
        <w:rPr>
          <w:color w:val="000000"/>
          <w:sz w:val="22"/>
          <w:szCs w:val="22"/>
        </w:rPr>
        <w:t>a) advertência;</w:t>
      </w:r>
    </w:p>
    <w:p>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pPr>
        <w:spacing w:before="0"/>
        <w:jc w:val="both"/>
        <w:rPr>
          <w:color w:val="000000"/>
          <w:sz w:val="22"/>
          <w:szCs w:val="22"/>
        </w:rPr>
      </w:pPr>
      <w:r>
        <w:rPr>
          <w:color w:val="000000"/>
          <w:sz w:val="22"/>
          <w:szCs w:val="22"/>
        </w:rPr>
        <w:t>c) suspensão temporária de participação em licitação e impedimento de contratar com a Administração Pública Municipal, por prazo não superior a 02 (dois) anos;</w:t>
      </w:r>
    </w:p>
    <w:p>
      <w:pPr>
        <w:spacing w:before="0"/>
        <w:jc w:val="both"/>
        <w:rPr>
          <w:color w:val="000000"/>
          <w:sz w:val="22"/>
          <w:szCs w:val="22"/>
        </w:rPr>
      </w:pPr>
      <w:r>
        <w:rPr>
          <w:color w:val="000000"/>
          <w:sz w:val="22"/>
          <w:szCs w:val="22"/>
        </w:rPr>
        <w:t xml:space="preserve">d) impedimento para licitar e contratar com a Administração Pública Municipal, pelo prazo de até 05 (cinco) anos, sem prejuízo das multas previstas em edital e no contrato e das demais cominações legais, </w:t>
      </w:r>
      <w:r>
        <w:rPr>
          <w:color w:val="000000"/>
          <w:sz w:val="22"/>
          <w:szCs w:val="22"/>
          <w:u w:color="auto"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color w:val="000000"/>
          <w:sz w:val="22"/>
          <w:szCs w:val="22"/>
        </w:rPr>
      </w:pPr>
      <w:r>
        <w:rPr>
          <w:color w:val="000000"/>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color w:val="000000"/>
          <w:sz w:val="22"/>
          <w:szCs w:val="22"/>
        </w:rPr>
      </w:pPr>
      <w:r>
        <w:rPr>
          <w:color w:val="000000"/>
          <w:sz w:val="22"/>
          <w:szCs w:val="22"/>
        </w:rPr>
        <w:t>19.3. As sanções administrativas somente serão aplicadas mediante regular processo administrativo, assegurada a ampla defesa e o contraditório, observando-se as seguintes regras:</w:t>
      </w:r>
    </w:p>
    <w:p>
      <w:pPr>
        <w:spacing w:before="0"/>
        <w:jc w:val="both"/>
        <w:rPr>
          <w:color w:val="000000"/>
          <w:sz w:val="22"/>
          <w:szCs w:val="22"/>
        </w:rPr>
      </w:pPr>
      <w:r>
        <w:rPr>
          <w:color w:val="000000"/>
          <w:sz w:val="22"/>
          <w:szCs w:val="22"/>
        </w:rPr>
        <w:t>a)  antes da aplicação de qualquer sanção administrativa, o órgão promotor do certame deverá notificar o licitante contratado, facultando-lhe a apresentação de defesa prévia;</w:t>
      </w:r>
    </w:p>
    <w:p>
      <w:pPr>
        <w:spacing w:before="0"/>
        <w:jc w:val="both"/>
        <w:rPr>
          <w:color w:val="000000"/>
          <w:sz w:val="22"/>
          <w:szCs w:val="22"/>
        </w:rPr>
      </w:pPr>
      <w:r>
        <w:rPr>
          <w:color w:val="00000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rPr>
          <w:color w:val="000000"/>
          <w:sz w:val="22"/>
          <w:szCs w:val="22"/>
        </w:rPr>
      </w:pPr>
      <w:r>
        <w:rPr>
          <w:color w:val="00000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rPr>
          <w:color w:val="000000"/>
          <w:sz w:val="22"/>
          <w:szCs w:val="22"/>
        </w:rPr>
      </w:pPr>
      <w:r>
        <w:rPr>
          <w:color w:val="00000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color w:val="000000"/>
          <w:sz w:val="22"/>
          <w:szCs w:val="22"/>
        </w:rPr>
      </w:pPr>
      <w:r>
        <w:rPr>
          <w:color w:val="00000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color w:val="000000"/>
          <w:sz w:val="22"/>
          <w:szCs w:val="22"/>
        </w:rPr>
      </w:pPr>
      <w:r>
        <w:rPr>
          <w:color w:val="000000"/>
          <w:sz w:val="22"/>
          <w:szCs w:val="22"/>
        </w:rPr>
        <w:t>f) o recurso administrativo a que se refere a alínea anterior será submetido à análise da Procuradoria Geral do Município.</w:t>
      </w:r>
    </w:p>
    <w:p>
      <w:pPr>
        <w:spacing w:before="0"/>
        <w:jc w:val="both"/>
        <w:rPr>
          <w:color w:val="000000"/>
          <w:sz w:val="22"/>
          <w:szCs w:val="22"/>
        </w:rPr>
      </w:pPr>
      <w:r>
        <w:rPr>
          <w:color w:val="000000"/>
          <w:sz w:val="22"/>
          <w:szCs w:val="22"/>
        </w:rPr>
        <w:t>19.4.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color w:val="000000"/>
          <w:sz w:val="22"/>
          <w:szCs w:val="22"/>
        </w:rPr>
      </w:pPr>
      <w:r>
        <w:rPr>
          <w:color w:val="000000"/>
          <w:sz w:val="22"/>
          <w:szCs w:val="22"/>
        </w:rPr>
        <w:t>19.5. Nas hipóteses em que os fatos ensejadores da aplicação das multas acarretarem também a rescisão do contrato, os valores referentes às penalidades poderão ainda ser descontados da garantia prestada pela contratada;</w:t>
      </w:r>
    </w:p>
    <w:p>
      <w:pPr>
        <w:spacing w:before="0"/>
        <w:jc w:val="both"/>
        <w:rPr>
          <w:color w:val="000000"/>
          <w:sz w:val="22"/>
          <w:szCs w:val="22"/>
        </w:rPr>
      </w:pPr>
      <w:r>
        <w:rPr>
          <w:color w:val="000000"/>
          <w:sz w:val="22"/>
          <w:szCs w:val="22"/>
        </w:rPr>
        <w:t>19.6. Em qualquer caso, se após o desconto dos valores relativos às multas restar valor residual em desfavor do licitante contratado, é obrigatória a cobrança judicial da diferença.</w:t>
      </w:r>
    </w:p>
    <w:p>
      <w:pPr>
        <w:spacing w:before="0"/>
        <w:jc w:val="both"/>
        <w:rPr>
          <w:color w:val="000000"/>
          <w:sz w:val="22"/>
          <w:szCs w:val="22"/>
        </w:rPr>
      </w:pPr>
      <w:r>
        <w:rPr>
          <w:color w:val="000000"/>
          <w:sz w:val="22"/>
          <w:szCs w:val="22"/>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20. DA ENTREGA E DO ABASTECIMENTO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a) O abastecimento será contínuo e fracionado de acordo com as necessidades da PMSDN/ES. “Em “postos pertencentes à contratada ou por ela credenciada de acordo com a distância estabelecida na alínea” b” deste item.</w:t>
      </w:r>
    </w:p>
    <w:p>
      <w:pPr>
        <w:pStyle w:val="para37"/>
        <w:spacing w:before="0"/>
        <w:jc w:val="both"/>
        <w:widowControl w:val="0"/>
        <w:rPr>
          <w:rFonts w:ascii="Times New Roman" w:hAnsi="Times New Roman" w:eastAsia="Times New Roman"/>
          <w:lang w:eastAsia="pt-br"/>
        </w:rPr>
      </w:pPr>
      <w:r>
        <w:rPr>
          <w:rFonts w:ascii="Times New Roman" w:hAnsi="Times New Roman" w:eastAsia="Times New Roman"/>
          <w:color w:val="000000"/>
        </w:rPr>
        <w:t xml:space="preserve">b) A contratada se obrigará a manter o posto de abastecimentos credenciado e em operação, até a distância máxima de 10 (dez) quilômetros da sede da Prefeitura Municipal de São Domingos do Norte, cujo endereço consta no preâmbulo deste edital; </w:t>
      </w:r>
      <w:r>
        <w:rPr>
          <w:rFonts w:ascii="Times New Roman" w:hAnsi="Times New Roman" w:eastAsia="Times New Roman"/>
          <w:lang w:eastAsia="pt-br"/>
        </w:rPr>
        <w:t>distância essa considerada de ida e volta, caso ultrapasse essa distância de 10 (dez) quilômetros, a contratada arcará com a despesa dos combustíveis gastos acima desse trajeto.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c) A Contratada se obrigará a realizar o abastecimento com os combustíveis em quantidade solicitados, após a requisição emitida. A contratada deverá estar apta a fornecer o produto imediatamente após assinatura do contrato.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d) O prazo para pagamento será de até 15 (quinze) dias contados da ata de protocolização e aceitação pelo Contratante da Nota Fiscal/Fatura correspondente, devidamente atestada pelo Gestor do Contrato. O pagamento da Nota Fiscal/fatura fica condicionado ao cumprimento dos critérios de recebimento.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e) Para habilitar-se ao pagamento a contratada deverá protocolar na PMSDN/ES Nota Fiscal, até o 5º (quinto) dia do mês subsequente ao mês de referência, especificando o abastecimento e seus correspondentes valores em moeda corrente nacional, devendo estar formalmente atestado pelo gestor do contrato.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Calibri"/>
          <w:b/>
          <w:kern w:val="1"/>
          <w:sz w:val="22"/>
          <w:szCs w:val="22"/>
          <w:lang w:eastAsia="zh-cn"/>
        </w:rPr>
      </w:pPr>
      <w:r>
        <w:rPr>
          <w:rFonts w:eastAsia="Calibri"/>
          <w:b/>
          <w:kern w:val="1"/>
          <w:sz w:val="22"/>
          <w:szCs w:val="22"/>
          <w:lang w:eastAsia="zh-cn"/>
        </w:rPr>
        <w:t>21 - DA MICROEMPRESA OU EMPRESA DE PEQUENO PORTE (ME OU EPP)</w:t>
      </w:r>
    </w:p>
    <w:p>
      <w:pPr>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Calibri"/>
          <w:kern w:val="1"/>
          <w:sz w:val="22"/>
          <w:szCs w:val="22"/>
          <w:lang w:eastAsia="zh-cn"/>
        </w:rPr>
      </w:pPr>
      <w:r>
        <w:rPr>
          <w:rFonts w:eastAsia="Calibri"/>
          <w:kern w:val="1"/>
          <w:sz w:val="22"/>
          <w:szCs w:val="22"/>
          <w:lang w:eastAsia="zh-cn"/>
        </w:rPr>
        <w:t>21.1 A licitante microempresa ou empresa de pequeno porte que desejar usufruir do regime diferenciado e favorecido, disciplinado na Lei Complementar nº 123, de 14 de Dezembro de 2006, deverá apresentar no ato do credenciamento, declaração conforme anexo X, de que cumpre as exigências legais previstas na Lei e atendem aos requisitos do art. 3º da referida Lei Complementar, acompanhada da Certidão Simplificada da Junta Comercial que comprove tal situação.</w:t>
      </w:r>
    </w:p>
    <w:p>
      <w:pPr>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Calibri"/>
          <w:kern w:val="1"/>
          <w:sz w:val="22"/>
          <w:szCs w:val="22"/>
          <w:lang w:eastAsia="zh-cn"/>
        </w:rPr>
      </w:pPr>
      <w:r>
        <w:rPr>
          <w:rFonts w:eastAsia="Calibri"/>
          <w:kern w:val="1"/>
          <w:sz w:val="22"/>
          <w:szCs w:val="22"/>
          <w:lang w:eastAsia="zh-cn"/>
        </w:rPr>
        <w:t>21.2 Não poderão pleitear os benefícios do citado regime favorecido e diferenciado os licitantes abrangidos nas hipóteses do § 4º, do art. 3º, da citada Lei Complementar.</w:t>
      </w:r>
    </w:p>
    <w:p>
      <w:pPr>
        <w:spacing w:before="0"/>
        <w:jc w:val="left"/>
        <w:widowControl w:val="0"/>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SimSun"/>
          <w:kern w:val="1"/>
          <w:lang w:eastAsia="zh-cn" w:bidi="pt-br"/>
        </w:rPr>
      </w:pPr>
      <w:r>
        <w:rPr>
          <w:rFonts w:eastAsia="SimSun"/>
          <w:kern w:val="1"/>
          <w:lang w:eastAsia="zh-cn" w:bidi="pt-br"/>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spacing w:before="0"/>
        <w:jc w:val="both"/>
        <w:rPr>
          <w:b/>
          <w:bCs/>
          <w:color w:val="000000"/>
          <w:sz w:val="22"/>
          <w:szCs w:val="22"/>
        </w:rPr>
      </w:pPr>
      <w:r>
        <w:rPr>
          <w:b/>
          <w:bCs/>
          <w:color w:val="000000"/>
          <w:sz w:val="22"/>
          <w:szCs w:val="22"/>
        </w:rPr>
        <w:t>22 - DAS DISPOSIÇÕES FINAIS</w:t>
      </w:r>
    </w:p>
    <w:p>
      <w:pPr>
        <w:spacing w:before="0"/>
        <w:jc w:val="both"/>
        <w:rPr>
          <w:color w:val="000000"/>
          <w:sz w:val="22"/>
          <w:szCs w:val="22"/>
        </w:rPr>
      </w:pPr>
      <w:r>
        <w:rPr>
          <w:color w:val="000000"/>
          <w:sz w:val="22"/>
          <w:szCs w:val="22"/>
        </w:rPr>
        <w:t>22.1.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pPr>
        <w:spacing w:before="0"/>
        <w:jc w:val="both"/>
        <w:rPr>
          <w:color w:val="000000"/>
          <w:sz w:val="22"/>
          <w:szCs w:val="22"/>
        </w:rPr>
      </w:pPr>
      <w:r>
        <w:rPr>
          <w:color w:val="000000"/>
          <w:sz w:val="22"/>
          <w:szCs w:val="22"/>
        </w:rPr>
        <w:t xml:space="preserve">22.2.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pPr>
        <w:spacing w:before="0"/>
        <w:jc w:val="both"/>
        <w:rPr>
          <w:color w:val="000000"/>
          <w:sz w:val="22"/>
          <w:szCs w:val="22"/>
        </w:rPr>
      </w:pPr>
      <w:r>
        <w:rPr>
          <w:color w:val="000000"/>
          <w:sz w:val="22"/>
          <w:szCs w:val="22"/>
        </w:rPr>
        <w:t>22.3. É facultado o pregoeiro, ou à autoridade a ele superior, em qualquer fase da licitação, promover diligências com vistas a esclarecer ou a complementar a instrução do processo, vedada a criação de exigência não prevista neste edital.</w:t>
      </w:r>
    </w:p>
    <w:p>
      <w:pPr>
        <w:spacing w:before="0"/>
        <w:jc w:val="both"/>
        <w:rPr>
          <w:color w:val="000000"/>
          <w:sz w:val="22"/>
          <w:szCs w:val="22"/>
        </w:rPr>
      </w:pPr>
      <w:r>
        <w:rPr>
          <w:color w:val="000000"/>
          <w:sz w:val="22"/>
          <w:szCs w:val="22"/>
        </w:rPr>
        <w:t>21.4. Os licitantes intimados para prestar quaisquer esclarecimentos adicionais deverão fazê-lo no prazo determinado pelo Pregoeiro, sob pena de desclassificação.</w:t>
      </w:r>
    </w:p>
    <w:p>
      <w:pPr>
        <w:spacing w:before="0"/>
        <w:jc w:val="both"/>
        <w:rPr>
          <w:color w:val="000000"/>
          <w:sz w:val="22"/>
          <w:szCs w:val="22"/>
        </w:rPr>
      </w:pPr>
      <w:r>
        <w:rPr>
          <w:color w:val="000000"/>
          <w:sz w:val="22"/>
          <w:szCs w:val="22"/>
        </w:rPr>
        <w:t>22.5. Em caso de dúvida quanto à autenticidade de assinatura constante em documento apresentado por licitante, poder-se-á diligenciar no intuito de saná-la, inclusive concedendo prazo para o reconhecimento de firma.</w:t>
      </w:r>
    </w:p>
    <w:p>
      <w:pPr>
        <w:spacing w:before="0"/>
        <w:jc w:val="both"/>
        <w:rPr>
          <w:color w:val="000000"/>
          <w:sz w:val="22"/>
          <w:szCs w:val="22"/>
        </w:rPr>
      </w:pPr>
      <w:r>
        <w:rPr>
          <w:color w:val="000000"/>
          <w:sz w:val="22"/>
          <w:szCs w:val="22"/>
        </w:rPr>
        <w:t>22.6. O desatendimento de exigências formais não essenciais não importará no afastamento do proponente, desde que seja possível a aferição da sua qualificação e a exata compreensão da sua proposta.</w:t>
      </w:r>
    </w:p>
    <w:p>
      <w:pPr>
        <w:spacing w:before="0"/>
        <w:jc w:val="both"/>
        <w:rPr>
          <w:color w:val="000000"/>
          <w:sz w:val="22"/>
          <w:szCs w:val="22"/>
        </w:rPr>
      </w:pPr>
      <w:r>
        <w:rPr>
          <w:color w:val="000000"/>
          <w:sz w:val="22"/>
          <w:szCs w:val="22"/>
        </w:rPr>
        <w:t>22.7. As normas que disciplinam este Pregão serão sempre interpretadas em favor da ampliação da disputa entre os proponentes, desde que não comprometam o interesse da Administração, o princípio da isonomia, a finalidade e a segurança da contratação.</w:t>
      </w:r>
    </w:p>
    <w:p>
      <w:pPr>
        <w:spacing w:before="0"/>
        <w:jc w:val="both"/>
        <w:rPr>
          <w:color w:val="000000"/>
          <w:sz w:val="22"/>
          <w:szCs w:val="22"/>
        </w:rPr>
      </w:pPr>
      <w:r>
        <w:rPr>
          <w:color w:val="000000"/>
          <w:sz w:val="22"/>
          <w:szCs w:val="22"/>
        </w:rPr>
        <w:t>22.8. As decisões referentes a este processo licitatório poderão ser comunicadas aos proponentes por qualquer meio de comunicação que comprove o recebimento ou, ainda, mediante publicação no Diário Oficial do Estado, quando estipulado pala Lei no. 8.666/93.</w:t>
      </w:r>
    </w:p>
    <w:p>
      <w:pPr>
        <w:spacing w:before="0"/>
        <w:jc w:val="both"/>
        <w:rPr>
          <w:color w:val="000000"/>
          <w:sz w:val="22"/>
          <w:szCs w:val="22"/>
        </w:rPr>
      </w:pPr>
      <w:r>
        <w:rPr>
          <w:color w:val="000000"/>
          <w:sz w:val="22"/>
          <w:szCs w:val="22"/>
        </w:rPr>
        <w:t xml:space="preserve">22.9. Os casos não previstos neste Edital serão decididos pelo Pregoeiro. </w:t>
      </w:r>
    </w:p>
    <w:p>
      <w:pPr>
        <w:spacing w:before="0"/>
        <w:jc w:val="both"/>
        <w:rPr>
          <w:color w:val="000000"/>
          <w:sz w:val="22"/>
          <w:szCs w:val="22"/>
        </w:rPr>
      </w:pPr>
      <w:r>
        <w:rPr>
          <w:color w:val="000000"/>
          <w:sz w:val="22"/>
          <w:szCs w:val="22"/>
        </w:rPr>
        <w:t>22.10. A participação do licitante nesta licitação, implica aceitação de todos os termos deste Edital.</w:t>
      </w:r>
    </w:p>
    <w:p>
      <w:pPr>
        <w:spacing w:before="0"/>
        <w:jc w:val="both"/>
        <w:rPr>
          <w:color w:val="000000"/>
          <w:sz w:val="22"/>
          <w:szCs w:val="22"/>
        </w:rPr>
      </w:pPr>
      <w:r>
        <w:rPr>
          <w:color w:val="000000"/>
          <w:sz w:val="22"/>
          <w:szCs w:val="22"/>
        </w:rPr>
        <w:t>22.11.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pPr>
        <w:spacing w:before="0"/>
        <w:jc w:val="both"/>
        <w:rPr>
          <w:color w:val="000000"/>
          <w:sz w:val="22"/>
          <w:szCs w:val="22"/>
        </w:rPr>
      </w:pPr>
      <w:r>
        <w:rPr>
          <w:color w:val="000000"/>
          <w:sz w:val="22"/>
          <w:szCs w:val="22"/>
        </w:rPr>
        <w:t>22.12. Os licitantes não terão direito à indenização em decorrência da anulação do procedimento licitatório, ressalvado o direito do contratado de boa-fé de ser ressarcido pelos encargos que tiver suportado no cumprimento do contrato.</w:t>
      </w:r>
    </w:p>
    <w:p>
      <w:pPr>
        <w:spacing w:before="0"/>
        <w:jc w:val="both"/>
        <w:rPr>
          <w:color w:val="000000"/>
          <w:sz w:val="22"/>
          <w:szCs w:val="22"/>
        </w:rPr>
      </w:pPr>
      <w:r>
        <w:rPr>
          <w:color w:val="000000"/>
          <w:sz w:val="22"/>
          <w:szCs w:val="22"/>
        </w:rPr>
        <w:t>22.13. A nulidade do procedimento licitatório induz a do contrato, ressalvando o disposto no parágrafo único do art. 59, da Lei nº 8.666/93.</w:t>
      </w:r>
    </w:p>
    <w:p>
      <w:pPr>
        <w:spacing w:before="0"/>
        <w:jc w:val="both"/>
        <w:rPr>
          <w:color w:val="000000"/>
          <w:sz w:val="22"/>
          <w:szCs w:val="22"/>
        </w:rPr>
      </w:pPr>
      <w:r>
        <w:rPr>
          <w:color w:val="000000"/>
          <w:sz w:val="22"/>
          <w:szCs w:val="22"/>
        </w:rPr>
        <w:t>22.14. No caso de desfazimento do processo licitatório, fica assegurada a ampla defesa e o contraditório.</w:t>
      </w:r>
    </w:p>
    <w:p>
      <w:pPr>
        <w:pStyle w:val="para23"/>
        <w:numPr>
          <w:ilvl w:val="0"/>
          <w:numId w:val="0"/>
        </w:numPr>
        <w:ind w:left="0" w:firstLine="0"/>
        <w:spacing w:before="0"/>
        <w:rPr>
          <w:color w:val="000000"/>
          <w:sz w:val="22"/>
          <w:szCs w:val="22"/>
        </w:rPr>
      </w:pPr>
      <w:r>
        <w:rPr>
          <w:color w:val="000000"/>
          <w:sz w:val="22"/>
          <w:szCs w:val="22"/>
        </w:rPr>
        <w:t>São Domingos do Norte/ES, 08 de janeiro de 2020.</w:t>
      </w:r>
    </w:p>
    <w:p>
      <w:pPr>
        <w:pStyle w:val="para25"/>
        <w:spacing w:before="0" w:after="0"/>
        <w:rPr>
          <w:color w:val="000000"/>
          <w:sz w:val="22"/>
          <w:szCs w:val="22"/>
        </w:rPr>
      </w:pPr>
      <w:r>
        <w:rPr>
          <w:color w:val="000000"/>
          <w:sz w:val="22"/>
          <w:szCs w:val="22"/>
        </w:rPr>
      </w:r>
    </w:p>
    <w:p>
      <w:pPr>
        <w:pStyle w:val="para25"/>
        <w:spacing w:before="0" w:after="0"/>
        <w:rPr>
          <w:b/>
          <w:color w:val="000000"/>
          <w:sz w:val="22"/>
          <w:szCs w:val="22"/>
        </w:rPr>
      </w:pPr>
      <w:r>
        <w:rPr>
          <w:b/>
          <w:color w:val="000000"/>
          <w:sz w:val="22"/>
          <w:szCs w:val="22"/>
        </w:rPr>
        <w:t>Reinaldo Basileu Guareschi</w:t>
      </w:r>
    </w:p>
    <w:p>
      <w:pPr>
        <w:pStyle w:val="para25"/>
        <w:spacing w:before="0" w:after="0"/>
        <w:rPr>
          <w:b/>
          <w:color w:val="000000"/>
          <w:sz w:val="22"/>
          <w:szCs w:val="22"/>
        </w:rPr>
      </w:pPr>
      <w:r>
        <w:rPr>
          <w:b/>
          <w:color w:val="000000"/>
          <w:sz w:val="22"/>
          <w:szCs w:val="22"/>
        </w:rPr>
        <w:t xml:space="preserve"> Pregoeiro/PMSDN</w:t>
      </w:r>
    </w:p>
    <w:p>
      <w:pPr>
        <w:pStyle w:val="para25"/>
        <w:spacing w:before="0" w:after="0"/>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Equipe de Apoio:</w:t>
      </w:r>
    </w:p>
    <w:p>
      <w:pPr>
        <w:spacing w:before="0"/>
        <w:jc w:val="both"/>
        <w:rPr>
          <w:sz w:val="22"/>
          <w:szCs w:val="22"/>
        </w:rPr>
      </w:pPr>
      <w:r>
        <w:rPr>
          <w:sz w:val="22"/>
          <w:szCs w:val="22"/>
        </w:rPr>
        <w:t>Paulo Cesar Bruni</w:t>
      </w:r>
    </w:p>
    <w:p>
      <w:pPr>
        <w:spacing w:before="0"/>
        <w:jc w:val="both"/>
        <w:rPr>
          <w:sz w:val="22"/>
          <w:szCs w:val="22"/>
        </w:rPr>
      </w:pPr>
      <w:r>
        <w:rPr>
          <w:sz w:val="22"/>
          <w:szCs w:val="22"/>
        </w:rPr>
        <w:t>Evanderson Aragão Colombo</w:t>
      </w:r>
    </w:p>
    <w:p>
      <w:pPr>
        <w:spacing w:before="0"/>
        <w:jc w:val="both"/>
        <w:rPr>
          <w:sz w:val="22"/>
          <w:szCs w:val="22"/>
        </w:rPr>
      </w:pPr>
      <w:r>
        <w:rPr>
          <w:sz w:val="22"/>
          <w:szCs w:val="22"/>
        </w:rPr>
        <w:t>Sirleia de Almeida Leite</w:t>
      </w:r>
    </w:p>
    <w:p>
      <w:pPr>
        <w:spacing w:before="0"/>
        <w:jc w:val="both"/>
        <w:rPr>
          <w:sz w:val="22"/>
          <w:szCs w:val="22"/>
        </w:rPr>
      </w:pPr>
      <w:r>
        <w:rPr>
          <w:sz w:val="22"/>
          <w:szCs w:val="22"/>
        </w:rPr>
        <w:t>Maria Aparecida Alves</w:t>
      </w:r>
    </w:p>
    <w:p>
      <w:pPr>
        <w:spacing w:before="0"/>
        <w:jc w:val="both"/>
        <w:rPr>
          <w:sz w:val="22"/>
          <w:szCs w:val="22"/>
        </w:rPr>
      </w:pPr>
      <w:r>
        <w:rPr>
          <w:sz w:val="22"/>
          <w:szCs w:val="22"/>
        </w:rPr>
        <w:t>Ricardo Vieira da Silva</w:t>
      </w:r>
    </w:p>
    <w:p>
      <w:pPr>
        <w:spacing w:before="0"/>
        <w:jc w:val="both"/>
        <w:rPr>
          <w:sz w:val="22"/>
          <w:szCs w:val="22"/>
        </w:rPr>
      </w:pPr>
      <w:r>
        <w:rPr>
          <w:sz w:val="22"/>
          <w:szCs w:val="22"/>
        </w:rPr>
        <w:t>Lucia Claudia Pestana Giovanelli</w:t>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t xml:space="preserve">ANEXO I </w:t>
      </w:r>
    </w:p>
    <w:p>
      <w:pPr>
        <w:spacing w:before="0"/>
        <w:rPr>
          <w:b/>
          <w:color w:val="000000"/>
          <w:sz w:val="22"/>
          <w:szCs w:val="22"/>
        </w:rPr>
      </w:pPr>
      <w:r>
        <w:rPr>
          <w:b/>
          <w:color w:val="000000"/>
          <w:sz w:val="22"/>
          <w:szCs w:val="22"/>
        </w:rPr>
        <w:t>(ver em pdf)</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spacing w:before="0"/>
        <w:jc w:val="both"/>
        <w:rPr>
          <w:color w:val="000000"/>
          <w:sz w:val="22"/>
          <w:szCs w:val="22"/>
        </w:rPr>
      </w:pPr>
      <w:r>
        <w:rPr>
          <w:color w:val="000000"/>
          <w:sz w:val="22"/>
          <w:szCs w:val="22"/>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t>PREGÃO PRESENCIAL N</w:t>
      </w:r>
      <w:r>
        <w:rPr>
          <w:color w:val="000000"/>
          <w:sz w:val="22"/>
          <w:szCs w:val="22"/>
          <w:u w:color="auto" w:val="single"/>
          <w:vertAlign w:val="superscript"/>
        </w:rPr>
        <w:t>o</w:t>
      </w:r>
      <w:r>
        <w:rPr>
          <w:color w:val="000000"/>
          <w:sz w:val="22"/>
          <w:szCs w:val="22"/>
        </w:rPr>
        <w:t xml:space="preserve"> 03/2020</w:t>
      </w:r>
    </w:p>
    <w:p>
      <w:pPr>
        <w:spacing w:before="0"/>
        <w:rPr>
          <w:b/>
          <w:color w:val="000000"/>
          <w:sz w:val="22"/>
          <w:szCs w:val="22"/>
        </w:rPr>
      </w:pPr>
      <w:r>
        <w:rPr>
          <w:b/>
          <w:color w:val="000000"/>
          <w:sz w:val="22"/>
          <w:szCs w:val="22"/>
        </w:rPr>
        <w:t>ANEXO II - CARTA DE CREDENCIAMENTO</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Ao Pregoeiro e/ou Equipe de Apoio</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Prefeitura Municipal de São Domingos do Norte/ES</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Prezados Senhores,</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Pela presente fica credenciado o Senhor .................................. (nome, qualificação completa e residência), portador da cédula de identidade numero .............., expedida em ...../...../..... pelo ....................... para representar a empresa ....................... (nome e endereço da empresa ou consorcio licitante), inscrição no C.N.P.J. sob o número ....................................., podendo participar de todos os atos necessários, desistir de recursos, interpô-los, apresentar lances verbais, negociar preços e demais condições, desistir, firmar compromissos ou acordos referentes ao pregão supra.</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Atenciosamente,</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 .......... de ..................... de 2020.</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(Assinatura do representante legal da empresa)</w:t>
      </w:r>
    </w:p>
    <w:p>
      <w:pPr>
        <w:spacing w:before="0"/>
        <w:jc w:val="both"/>
        <w:rPr>
          <w:color w:val="000000"/>
          <w:sz w:val="22"/>
          <w:szCs w:val="22"/>
        </w:rPr>
      </w:pPr>
      <w:r>
        <w:rPr>
          <w:color w:val="000000"/>
          <w:sz w:val="22"/>
          <w:szCs w:val="22"/>
        </w:rPr>
      </w:r>
    </w:p>
    <w:p>
      <w:pPr>
        <w:spacing w:before="0"/>
        <w:jc w:val="both"/>
        <w:rPr>
          <w:color w:val="000000"/>
          <w:sz w:val="22"/>
          <w:szCs w:val="22"/>
        </w:rPr>
      </w:pPr>
      <w:r>
        <w:rPr>
          <w:b/>
          <w:color w:val="000000"/>
          <w:sz w:val="22"/>
          <w:szCs w:val="22"/>
        </w:rPr>
        <w:t>Observação:</w:t>
      </w:r>
      <w:r>
        <w:rPr>
          <w:color w:val="000000"/>
          <w:sz w:val="22"/>
          <w:szCs w:val="22"/>
        </w:rPr>
        <w:t xml:space="preserve"> Esta carta deverá ser entregue ao Pregoeiro e/ou Equipe de Apoio pessoalmente pelo representante credenciado, até impreterivelmente a hora marcada para inicio da licitação, prevista no presente Edital e só terá validade se estiver acompanhada da Certidão Simplificada da Junta Comercial expedida em até 120 (cento e vinte) dias anterior à abertura do certame, que comprove tal situação do representante legal da empresa.</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t>PREGÃO PRESENCIAL N</w:t>
      </w:r>
      <w:r>
        <w:rPr>
          <w:b/>
          <w:color w:val="000000"/>
          <w:sz w:val="22"/>
          <w:szCs w:val="22"/>
          <w:u w:color="auto" w:val="single"/>
          <w:vertAlign w:val="superscript"/>
        </w:rPr>
        <w:t>o</w:t>
      </w:r>
      <w:r>
        <w:rPr>
          <w:b/>
          <w:color w:val="000000"/>
          <w:sz w:val="22"/>
          <w:szCs w:val="22"/>
        </w:rPr>
        <w:t xml:space="preserve"> 03/2020</w:t>
      </w:r>
    </w:p>
    <w:p>
      <w:pPr>
        <w:spacing w:before="0"/>
        <w:rPr>
          <w:b/>
          <w:color w:val="000000"/>
          <w:sz w:val="22"/>
          <w:szCs w:val="22"/>
        </w:rPr>
      </w:pPr>
      <w:r>
        <w:rPr>
          <w:b/>
          <w:color w:val="000000"/>
          <w:sz w:val="22"/>
          <w:szCs w:val="22"/>
        </w:rPr>
        <w:t>ANEXO III - PROPOSTA COMERCIAL</w:t>
      </w:r>
    </w:p>
    <w:p>
      <w:pPr>
        <w:spacing w:before="0"/>
        <w:rPr>
          <w:b/>
          <w:color w:val="000000"/>
          <w:sz w:val="22"/>
          <w:szCs w:val="22"/>
        </w:rPr>
      </w:pPr>
      <w:r>
        <w:rPr>
          <w:b/>
          <w:color w:val="000000"/>
          <w:sz w:val="22"/>
          <w:szCs w:val="22"/>
        </w:rPr>
        <w:t>(modelo anexo I ver em pdf)</w:t>
      </w:r>
    </w:p>
    <w:p>
      <w:pPr>
        <w:spacing w:before="0"/>
        <w:rPr>
          <w:b/>
          <w:color w:val="000000"/>
          <w:sz w:val="22"/>
          <w:szCs w:val="22"/>
        </w:rPr>
      </w:pPr>
      <w:r>
        <w:rPr>
          <w:b/>
          <w:color w:val="000000"/>
          <w:sz w:val="22"/>
          <w:szCs w:val="22"/>
        </w:rPr>
      </w:r>
    </w:p>
    <w:p>
      <w:pPr>
        <w:pStyle w:val="para25"/>
        <w:spacing w:before="0" w:after="0"/>
        <w:jc w:val="both"/>
        <w:rPr>
          <w:color w:val="000000"/>
          <w:sz w:val="22"/>
          <w:szCs w:val="22"/>
        </w:rPr>
      </w:pPr>
      <w:r>
        <w:rPr>
          <w:color w:val="000000"/>
          <w:sz w:val="22"/>
          <w:szCs w:val="22"/>
        </w:rPr>
        <w:t>Empresa: .........................................................................</w:t>
      </w:r>
    </w:p>
    <w:p>
      <w:pPr>
        <w:pStyle w:val="para25"/>
        <w:spacing w:before="0" w:after="0"/>
        <w:jc w:val="both"/>
        <w:rPr>
          <w:color w:val="000000"/>
          <w:sz w:val="22"/>
          <w:szCs w:val="22"/>
        </w:rPr>
      </w:pPr>
      <w:r>
        <w:rPr>
          <w:color w:val="000000"/>
          <w:sz w:val="22"/>
          <w:szCs w:val="22"/>
        </w:rPr>
        <w:t>À Prefeitura Municipal de São Domingos do Norte</w:t>
      </w:r>
    </w:p>
    <w:p>
      <w:pPr>
        <w:pStyle w:val="para25"/>
        <w:spacing w:before="0" w:after="0"/>
        <w:jc w:val="both"/>
        <w:rPr>
          <w:color w:val="000000"/>
          <w:sz w:val="22"/>
          <w:szCs w:val="22"/>
        </w:rPr>
      </w:pPr>
      <w:r>
        <w:rPr>
          <w:color w:val="000000"/>
          <w:sz w:val="22"/>
          <w:szCs w:val="22"/>
        </w:rPr>
        <w:t>PREGÃO PRESENCIAL Nº 03/2020</w:t>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Prezados Senhores:</w:t>
      </w:r>
    </w:p>
    <w:p>
      <w:pPr>
        <w:pStyle w:val="para25"/>
        <w:spacing w:before="0" w:after="0"/>
        <w:jc w:val="both"/>
        <w:rPr>
          <w:color w:val="000000"/>
          <w:sz w:val="22"/>
          <w:szCs w:val="22"/>
        </w:rPr>
      </w:pPr>
      <w:r>
        <w:rPr>
          <w:color w:val="000000"/>
          <w:sz w:val="22"/>
          <w:szCs w:val="22"/>
        </w:rPr>
        <w:t>Pela presente formulamos Proposta Comercial para fornecimento do veículo supracitados, de acordo com todas as condições do PREGÃO PRESENCIAL Nº 03/2020 e seus anexos.</w:t>
      </w:r>
    </w:p>
    <w:p>
      <w:pPr>
        <w:pStyle w:val="para23"/>
        <w:numPr>
          <w:ilvl w:val="0"/>
          <w:numId w:val="0"/>
        </w:numPr>
        <w:ind w:left="0" w:firstLine="0"/>
        <w:spacing w:before="0"/>
        <w:jc w:val="both"/>
        <w:rPr>
          <w:b/>
          <w:bCs/>
          <w:color w:val="000000"/>
          <w:sz w:val="22"/>
          <w:szCs w:val="22"/>
        </w:rPr>
      </w:pPr>
      <w:r>
        <w:rPr>
          <w:b/>
          <w:bCs/>
          <w:color w:val="000000"/>
          <w:sz w:val="22"/>
          <w:szCs w:val="22"/>
        </w:rPr>
      </w:r>
    </w:p>
    <w:p>
      <w:pPr>
        <w:pStyle w:val="para25"/>
        <w:spacing w:before="0" w:after="0"/>
        <w:jc w:val="both"/>
        <w:rPr>
          <w:color w:val="000000"/>
          <w:sz w:val="22"/>
          <w:szCs w:val="22"/>
        </w:rPr>
      </w:pPr>
      <w:r>
        <w:rPr>
          <w:color w:val="000000"/>
          <w:sz w:val="22"/>
          <w:szCs w:val="22"/>
        </w:rPr>
        <w:t>a) O prazo de validade da presente proposta é de 12 meses conforme a ata de registro de preço.</w:t>
      </w:r>
    </w:p>
    <w:p>
      <w:pPr>
        <w:pStyle w:val="para25"/>
        <w:spacing w:before="0" w:after="0"/>
        <w:jc w:val="both"/>
        <w:rPr>
          <w:color w:val="000000"/>
          <w:sz w:val="22"/>
          <w:szCs w:val="22"/>
        </w:rPr>
      </w:pPr>
      <w:r>
        <w:rPr>
          <w:color w:val="000000"/>
          <w:sz w:val="22"/>
          <w:szCs w:val="22"/>
        </w:rPr>
        <w:t>b) Os preços ora propostos incluem todas as despesas diretas, indiretas, benefícios, tributos, contribuições, seguros e licenças de modo a se constituírem à única e total contraprestação pela aquisição do objeto.</w:t>
      </w:r>
    </w:p>
    <w:p>
      <w:pPr>
        <w:pStyle w:val="para25"/>
        <w:spacing w:before="0" w:after="0"/>
        <w:jc w:val="both"/>
        <w:rPr>
          <w:color w:val="000000"/>
          <w:sz w:val="22"/>
          <w:szCs w:val="22"/>
        </w:rPr>
      </w:pPr>
      <w:r>
        <w:rPr>
          <w:color w:val="000000"/>
          <w:sz w:val="22"/>
          <w:szCs w:val="22"/>
        </w:rPr>
        <w:t>c) A Contratada terá que cumprir todos os requisitos conforme o Termo de Referência.</w:t>
      </w:r>
    </w:p>
    <w:p>
      <w:pPr>
        <w:pStyle w:val="para25"/>
        <w:spacing w:before="0" w:after="0"/>
        <w:jc w:val="both"/>
        <w:rPr>
          <w:color w:val="000000"/>
          <w:sz w:val="22"/>
          <w:szCs w:val="22"/>
        </w:rPr>
      </w:pPr>
      <w:r>
        <w:rPr>
          <w:color w:val="000000"/>
          <w:sz w:val="22"/>
          <w:szCs w:val="22"/>
        </w:rPr>
        <w:t>d) Manifesto cumprir plenamente os requisitos de habilitação e que minha proposta está em conformidade com as exigências do instrumento convocatório.</w:t>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Atenciosamente,</w:t>
      </w:r>
    </w:p>
    <w:p>
      <w:pPr>
        <w:pStyle w:val="para25"/>
        <w:spacing w:before="0" w:after="0"/>
        <w:jc w:val="both"/>
        <w:rPr>
          <w:color w:val="000000"/>
          <w:sz w:val="22"/>
          <w:szCs w:val="22"/>
        </w:rPr>
      </w:pPr>
      <w:r>
        <w:rPr>
          <w:color w:val="000000"/>
          <w:sz w:val="22"/>
          <w:szCs w:val="22"/>
        </w:rPr>
        <w:t>.........................................................</w:t>
      </w:r>
    </w:p>
    <w:p>
      <w:pPr>
        <w:pStyle w:val="para25"/>
        <w:spacing w:before="0" w:after="0"/>
        <w:jc w:val="both"/>
        <w:rPr>
          <w:color w:val="000000"/>
          <w:sz w:val="22"/>
          <w:szCs w:val="22"/>
        </w:rPr>
      </w:pPr>
      <w:r>
        <w:rPr>
          <w:color w:val="000000"/>
          <w:sz w:val="22"/>
          <w:szCs w:val="22"/>
        </w:rPr>
        <w:t>Identificação e Assinatura</w:t>
      </w:r>
      <w:r>
        <w:br w:type="page"/>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tabs defTabSz="708"/>
        <w:rPr>
          <w:b/>
          <w:color w:val="000000"/>
          <w:sz w:val="22"/>
          <w:szCs w:val="22"/>
        </w:rPr>
      </w:pPr>
      <w:r>
        <w:rPr>
          <w:b/>
          <w:color w:val="000000"/>
          <w:sz w:val="22"/>
          <w:szCs w:val="22"/>
        </w:rPr>
        <w:t>PREGÃO PRESENCIAL N</w:t>
      </w:r>
      <w:r>
        <w:rPr>
          <w:b/>
          <w:color w:val="000000"/>
          <w:sz w:val="22"/>
          <w:szCs w:val="22"/>
          <w:u w:color="auto" w:val="single"/>
          <w:vertAlign w:val="superscript"/>
        </w:rPr>
        <w:t>o</w:t>
      </w:r>
      <w:r>
        <w:rPr>
          <w:b/>
          <w:color w:val="000000"/>
          <w:sz w:val="22"/>
          <w:szCs w:val="22"/>
        </w:rPr>
        <w:t xml:space="preserve"> 03/2020</w:t>
      </w:r>
    </w:p>
    <w:p>
      <w:pPr>
        <w:spacing w:before="0"/>
        <w:tabs defTabSz="708"/>
        <w:rPr>
          <w:b/>
          <w:color w:val="000000"/>
          <w:sz w:val="22"/>
          <w:szCs w:val="22"/>
        </w:rPr>
      </w:pPr>
      <w:r>
        <w:rPr>
          <w:b/>
          <w:color w:val="000000"/>
          <w:sz w:val="22"/>
          <w:szCs w:val="22"/>
        </w:rPr>
        <w:t>ANEXO IV - EXIGÊNCIAS PARA HABILITAÇÃO</w:t>
      </w:r>
    </w:p>
    <w:p>
      <w:pPr>
        <w:spacing w:before="0"/>
        <w:tabs defTabSz="708"/>
        <w:rPr>
          <w:b/>
          <w:color w:val="000000"/>
          <w:sz w:val="22"/>
          <w:szCs w:val="22"/>
        </w:rPr>
      </w:pPr>
      <w:r>
        <w:rPr>
          <w:b/>
          <w:color w:val="000000"/>
          <w:sz w:val="22"/>
          <w:szCs w:val="22"/>
        </w:rPr>
      </w:r>
    </w:p>
    <w:p>
      <w:pPr>
        <w:pStyle w:val="para23"/>
        <w:numPr>
          <w:ilvl w:val="0"/>
          <w:numId w:val="0"/>
        </w:numPr>
        <w:ind w:left="0" w:firstLine="0"/>
        <w:spacing w:before="0"/>
        <w:jc w:val="both"/>
        <w:tabs defTabSz="708"/>
        <w:rPr>
          <w:color w:val="000000"/>
          <w:sz w:val="22"/>
          <w:szCs w:val="22"/>
        </w:rPr>
      </w:pPr>
      <w:r>
        <w:rPr>
          <w:color w:val="000000"/>
          <w:sz w:val="22"/>
          <w:szCs w:val="22"/>
        </w:rPr>
        <w:t>Para habilitar-se no certame, após a fase de disputa, o licitante vencedor deverá apresentar a seguinte documentação:</w:t>
      </w:r>
    </w:p>
    <w:p>
      <w:pPr>
        <w:pStyle w:val="para23"/>
        <w:numPr>
          <w:ilvl w:val="0"/>
          <w:numId w:val="0"/>
        </w:numPr>
        <w:ind w:left="0" w:firstLine="0"/>
        <w:spacing w:before="0"/>
        <w:jc w:val="both"/>
        <w:tabs defTabSz="708"/>
        <w:rPr>
          <w:color w:val="000000"/>
          <w:sz w:val="22"/>
          <w:szCs w:val="22"/>
        </w:rPr>
      </w:pPr>
      <w:r>
        <w:rPr>
          <w:color w:val="000000"/>
          <w:sz w:val="22"/>
          <w:szCs w:val="22"/>
        </w:rPr>
      </w:r>
    </w:p>
    <w:p>
      <w:pPr>
        <w:pStyle w:val="para23"/>
        <w:numPr>
          <w:ilvl w:val="0"/>
          <w:numId w:val="0"/>
        </w:numPr>
        <w:ind w:left="0" w:firstLine="0"/>
        <w:spacing w:before="0"/>
        <w:jc w:val="both"/>
        <w:tabs defTabSz="708"/>
        <w:rPr>
          <w:b/>
          <w:bCs/>
          <w:color w:val="000000"/>
          <w:sz w:val="22"/>
          <w:szCs w:val="22"/>
        </w:rPr>
      </w:pPr>
      <w:r>
        <w:rPr>
          <w:b/>
          <w:bCs/>
          <w:color w:val="000000"/>
          <w:sz w:val="22"/>
          <w:szCs w:val="22"/>
        </w:rPr>
        <w:t>1 -  DA HABILITAÇÃO</w:t>
      </w:r>
    </w:p>
    <w:p>
      <w:pPr>
        <w:pStyle w:val="para23"/>
        <w:numPr>
          <w:ilvl w:val="0"/>
          <w:numId w:val="0"/>
        </w:numPr>
        <w:ind w:left="0" w:firstLine="0"/>
        <w:spacing w:before="0"/>
        <w:jc w:val="both"/>
        <w:tabs defTabSz="708"/>
        <w:rPr>
          <w:color w:val="000000"/>
          <w:sz w:val="22"/>
          <w:szCs w:val="22"/>
          <w:shd w:val="clear" w:fill="fafafa"/>
        </w:rPr>
      </w:pPr>
      <w:r>
        <w:rPr>
          <w:color w:val="000000"/>
          <w:sz w:val="22"/>
          <w:szCs w:val="22"/>
          <w:shd w:val="clear" w:fill="fafafa"/>
        </w:rPr>
        <w:t>Os documentos necessários à habilitação poderão ser apresentados em original, por qualquer processo de cópia autenticada por cartório competente ou por servidor da administração ou publicação em órgão da imprensa oficial.</w:t>
      </w:r>
    </w:p>
    <w:p>
      <w:pPr>
        <w:pStyle w:val="para23"/>
        <w:numPr>
          <w:ilvl w:val="0"/>
          <w:numId w:val="0"/>
        </w:numPr>
        <w:ind w:left="0" w:firstLine="0"/>
        <w:spacing w:before="0"/>
        <w:jc w:val="both"/>
        <w:tabs defTabSz="708"/>
        <w:rPr>
          <w:b/>
          <w:bCs/>
          <w:color w:val="000000"/>
          <w:sz w:val="22"/>
          <w:szCs w:val="22"/>
        </w:rPr>
      </w:pPr>
      <w:r>
        <w:rPr>
          <w:b/>
          <w:bCs/>
          <w:color w:val="000000"/>
          <w:sz w:val="22"/>
          <w:szCs w:val="22"/>
        </w:rPr>
      </w:r>
    </w:p>
    <w:p>
      <w:pPr>
        <w:pStyle w:val="para23"/>
        <w:numPr>
          <w:ilvl w:val="1"/>
          <w:numId w:val="14"/>
        </w:numPr>
        <w:ind w:left="420" w:hanging="420"/>
        <w:spacing w:before="0"/>
        <w:jc w:val="both"/>
        <w:tabs defTabSz="708"/>
        <w:rPr>
          <w:b/>
          <w:bCs/>
          <w:color w:val="000000"/>
          <w:sz w:val="22"/>
          <w:szCs w:val="22"/>
        </w:rPr>
      </w:pPr>
      <w:r>
        <w:rPr>
          <w:b/>
          <w:bCs/>
          <w:color w:val="000000"/>
          <w:sz w:val="22"/>
          <w:szCs w:val="22"/>
        </w:rPr>
        <w:t>DA HABILITAÇÃO JURÍDICA</w:t>
      </w:r>
    </w:p>
    <w:p>
      <w:pPr>
        <w:pStyle w:val="para23"/>
        <w:numPr>
          <w:ilvl w:val="0"/>
          <w:numId w:val="0"/>
        </w:numPr>
        <w:ind w:left="0" w:firstLine="0"/>
        <w:spacing w:before="0"/>
        <w:jc w:val="both"/>
        <w:tabs defTabSz="708"/>
        <w:rPr>
          <w:bCs/>
          <w:color w:val="000000"/>
          <w:sz w:val="22"/>
          <w:szCs w:val="22"/>
        </w:rPr>
      </w:pPr>
      <w:r>
        <w:rPr>
          <w:bCs/>
          <w:color w:val="000000"/>
          <w:sz w:val="22"/>
          <w:szCs w:val="22"/>
        </w:rPr>
        <w:t>a) Cédula de identidade;</w:t>
      </w:r>
    </w:p>
    <w:p>
      <w:pPr>
        <w:pStyle w:val="para23"/>
        <w:numPr>
          <w:ilvl w:val="0"/>
          <w:numId w:val="0"/>
        </w:numPr>
        <w:ind w:left="0" w:firstLine="0"/>
        <w:spacing w:before="0"/>
        <w:jc w:val="both"/>
        <w:tabs defTabSz="708"/>
        <w:rPr>
          <w:color w:val="000000"/>
          <w:sz w:val="22"/>
          <w:szCs w:val="22"/>
        </w:rPr>
      </w:pPr>
      <w:r>
        <w:rPr>
          <w:bCs/>
          <w:color w:val="000000"/>
          <w:sz w:val="22"/>
          <w:szCs w:val="22"/>
        </w:rPr>
        <w:t>b)</w:t>
      </w:r>
      <w:r>
        <w:rPr>
          <w:b/>
          <w:bCs/>
          <w:color w:val="000000"/>
          <w:sz w:val="22"/>
          <w:szCs w:val="22"/>
        </w:rPr>
        <w:t xml:space="preserve"> </w:t>
      </w:r>
      <w:r>
        <w:rPr>
          <w:color w:val="000000"/>
          <w:sz w:val="22"/>
          <w:szCs w:val="22"/>
        </w:rPr>
        <w:t>Registro comercial, no caso de empresa individual;</w:t>
      </w:r>
    </w:p>
    <w:p>
      <w:pPr>
        <w:pStyle w:val="para23"/>
        <w:numPr>
          <w:ilvl w:val="0"/>
          <w:numId w:val="0"/>
        </w:numPr>
        <w:ind w:left="0" w:firstLine="0"/>
        <w:spacing w:before="0"/>
        <w:jc w:val="both"/>
        <w:tabs defTabSz="708"/>
        <w:rPr>
          <w:color w:val="000000"/>
          <w:sz w:val="22"/>
          <w:szCs w:val="22"/>
        </w:rPr>
      </w:pPr>
      <w:r>
        <w:rPr>
          <w:color w:val="000000"/>
          <w:sz w:val="22"/>
          <w:szCs w:val="22"/>
        </w:rPr>
        <w:t>c) Ato constitutivo, estatuto ou contrato em vigor, devidamente registrado, em se tratando de sociedades comerciais e no caso de sociedade por ações, acompanhado dos documentos de eleição de seus atuais administradores;</w:t>
      </w:r>
    </w:p>
    <w:p>
      <w:pPr>
        <w:pStyle w:val="para23"/>
        <w:numPr>
          <w:ilvl w:val="0"/>
          <w:numId w:val="0"/>
        </w:numPr>
        <w:ind w:left="0" w:firstLine="0"/>
        <w:spacing w:before="0"/>
        <w:jc w:val="both"/>
        <w:tabs defTabSz="708"/>
        <w:rPr>
          <w:color w:val="000000"/>
          <w:sz w:val="22"/>
          <w:szCs w:val="22"/>
        </w:rPr>
      </w:pPr>
      <w:r>
        <w:rPr>
          <w:color w:val="000000"/>
          <w:sz w:val="22"/>
          <w:szCs w:val="22"/>
        </w:rPr>
        <w:t>d) Inscrição do ato constitutivo no caso de sociedades civis, acompanhada de documentação que identifique a Diretoria em exercício;</w:t>
      </w:r>
    </w:p>
    <w:p>
      <w:pPr>
        <w:pStyle w:val="para23"/>
        <w:numPr>
          <w:ilvl w:val="0"/>
          <w:numId w:val="0"/>
        </w:numPr>
        <w:ind w:left="0" w:firstLine="0"/>
        <w:spacing w:before="0"/>
        <w:jc w:val="both"/>
        <w:tabs defTabSz="708"/>
        <w:rPr>
          <w:color w:val="000000"/>
          <w:sz w:val="22"/>
          <w:szCs w:val="22"/>
        </w:rPr>
      </w:pPr>
      <w:r>
        <w:rPr>
          <w:color w:val="000000"/>
          <w:sz w:val="22"/>
          <w:szCs w:val="22"/>
        </w:rPr>
        <w:t>e) Decreto de autorização, em se tratando de empresa ou sociedade estrangeira em funcionamento no País, e ato de registro ou autorização para funcionamento expedido pelo órgão competente.</w:t>
      </w:r>
    </w:p>
    <w:p>
      <w:pPr>
        <w:spacing w:before="0"/>
        <w:jc w:val="left"/>
        <w:tabs defTabSz="708"/>
        <w:rPr>
          <w:color w:val="000000"/>
          <w:sz w:val="22"/>
          <w:szCs w:val="22"/>
        </w:rPr>
      </w:pPr>
      <w:r>
        <w:rPr>
          <w:color w:val="000000"/>
          <w:sz w:val="22"/>
          <w:szCs w:val="22"/>
        </w:rPr>
      </w:r>
    </w:p>
    <w:p>
      <w:pPr>
        <w:pStyle w:val="para23"/>
        <w:numPr>
          <w:ilvl w:val="1"/>
          <w:numId w:val="14"/>
        </w:numPr>
        <w:ind w:left="420" w:hanging="420"/>
        <w:spacing w:before="0"/>
        <w:jc w:val="both"/>
        <w:tabs defTabSz="708"/>
        <w:rPr>
          <w:b/>
          <w:bCs/>
          <w:color w:val="000000"/>
          <w:sz w:val="22"/>
          <w:szCs w:val="22"/>
        </w:rPr>
      </w:pPr>
      <w:r>
        <w:rPr>
          <w:b/>
          <w:bCs/>
          <w:color w:val="000000"/>
          <w:sz w:val="22"/>
          <w:szCs w:val="22"/>
        </w:rPr>
        <w:t>DA REGULARIDADE FISCAL</w:t>
      </w:r>
    </w:p>
    <w:p>
      <w:pPr>
        <w:pStyle w:val="para23"/>
        <w:numPr>
          <w:ilvl w:val="0"/>
          <w:numId w:val="0"/>
        </w:numPr>
        <w:ind w:left="0" w:firstLine="0"/>
        <w:spacing w:before="0"/>
        <w:jc w:val="both"/>
        <w:tabs defTabSz="708"/>
        <w:rPr>
          <w:b/>
          <w:color w:val="000000"/>
          <w:sz w:val="22"/>
          <w:szCs w:val="22"/>
        </w:rPr>
      </w:pPr>
      <w:r>
        <w:rPr>
          <w:bCs/>
          <w:color w:val="000000"/>
          <w:sz w:val="22"/>
          <w:szCs w:val="22"/>
        </w:rPr>
        <w:t>a)</w:t>
      </w:r>
      <w:r>
        <w:rPr>
          <w:b/>
          <w:bCs/>
          <w:color w:val="000000"/>
          <w:sz w:val="22"/>
          <w:szCs w:val="22"/>
        </w:rPr>
        <w:t xml:space="preserve"> </w:t>
      </w:r>
      <w:r>
        <w:rPr>
          <w:color w:val="000000"/>
          <w:sz w:val="22"/>
          <w:szCs w:val="22"/>
        </w:rPr>
        <w:t xml:space="preserve">Prova de inscrição no Cadastro Nacional de Pessoa Jurídica – </w:t>
      </w:r>
      <w:r>
        <w:rPr>
          <w:b/>
          <w:color w:val="000000"/>
          <w:sz w:val="22"/>
          <w:szCs w:val="22"/>
        </w:rPr>
        <w:t>CNPJ;</w:t>
      </w:r>
      <w:r>
        <w:rPr>
          <w:b/>
          <w:color w:val="000000"/>
          <w:sz w:val="22"/>
          <w:szCs w:val="22"/>
        </w:rPr>
      </w:r>
    </w:p>
    <w:p>
      <w:pPr>
        <w:pStyle w:val="para23"/>
        <w:numPr>
          <w:ilvl w:val="0"/>
          <w:numId w:val="0"/>
        </w:numPr>
        <w:ind w:left="0" w:firstLine="0"/>
        <w:spacing w:before="0"/>
        <w:jc w:val="both"/>
        <w:tabs defTabSz="708"/>
        <w:rPr>
          <w:color w:val="000000"/>
          <w:sz w:val="22"/>
          <w:szCs w:val="22"/>
        </w:rPr>
      </w:pPr>
      <w:r>
        <w:rPr>
          <w:color w:val="000000"/>
          <w:sz w:val="22"/>
          <w:szCs w:val="22"/>
        </w:rPr>
        <w:t xml:space="preserve">b) Prova de regularidade para com a Fazenda Pública  </w:t>
      </w:r>
      <w:r>
        <w:rPr>
          <w:b/>
          <w:color w:val="000000"/>
          <w:sz w:val="22"/>
          <w:szCs w:val="22"/>
        </w:rPr>
        <w:t>Estadual</w:t>
      </w:r>
      <w:r>
        <w:rPr>
          <w:color w:val="000000"/>
          <w:sz w:val="22"/>
          <w:szCs w:val="22"/>
        </w:rPr>
        <w:t xml:space="preserve"> </w:t>
      </w:r>
    </w:p>
    <w:p>
      <w:pPr>
        <w:pStyle w:val="para23"/>
        <w:numPr>
          <w:ilvl w:val="0"/>
          <w:numId w:val="0"/>
        </w:numPr>
        <w:ind w:left="0" w:firstLine="0"/>
        <w:spacing w:before="0"/>
        <w:jc w:val="both"/>
        <w:tabs defTabSz="708"/>
        <w:rPr>
          <w:color w:val="000000"/>
          <w:sz w:val="22"/>
          <w:szCs w:val="22"/>
        </w:rPr>
      </w:pPr>
      <w:r>
        <w:rPr>
          <w:color w:val="000000"/>
          <w:sz w:val="22"/>
          <w:szCs w:val="22"/>
        </w:rPr>
        <w:t xml:space="preserve">c) Prova de regularidade com a Dívida Ativa </w:t>
      </w:r>
      <w:r>
        <w:rPr>
          <w:b/>
          <w:color w:val="000000"/>
          <w:sz w:val="22"/>
          <w:szCs w:val="22"/>
        </w:rPr>
        <w:t>da União</w:t>
      </w:r>
      <w:r>
        <w:rPr>
          <w:color w:val="000000"/>
          <w:sz w:val="22"/>
          <w:szCs w:val="22"/>
        </w:rPr>
        <w:t>;</w:t>
      </w:r>
    </w:p>
    <w:p>
      <w:pPr>
        <w:pStyle w:val="para23"/>
        <w:numPr>
          <w:ilvl w:val="0"/>
          <w:numId w:val="0"/>
        </w:numPr>
        <w:ind w:left="0" w:firstLine="0"/>
        <w:spacing w:before="0"/>
        <w:jc w:val="both"/>
        <w:tabs defTabSz="708"/>
        <w:rPr>
          <w:color w:val="000000"/>
          <w:sz w:val="22"/>
          <w:szCs w:val="22"/>
        </w:rPr>
      </w:pPr>
      <w:r>
        <w:rPr>
          <w:color w:val="000000"/>
          <w:sz w:val="22"/>
          <w:szCs w:val="22"/>
        </w:rPr>
        <w:t xml:space="preserve">d) Prova de regularidade com o Fundo de Garantia por Tempo de Serviço – </w:t>
      </w:r>
      <w:r>
        <w:rPr>
          <w:b/>
          <w:color w:val="000000"/>
          <w:sz w:val="22"/>
          <w:szCs w:val="22"/>
        </w:rPr>
        <w:t>FGTS</w:t>
      </w:r>
      <w:r>
        <w:rPr>
          <w:color w:val="000000"/>
          <w:sz w:val="22"/>
          <w:szCs w:val="22"/>
        </w:rPr>
        <w:t>;</w:t>
      </w:r>
    </w:p>
    <w:p>
      <w:pPr>
        <w:pStyle w:val="para23"/>
        <w:numPr>
          <w:ilvl w:val="0"/>
          <w:numId w:val="0"/>
        </w:numPr>
        <w:ind w:left="0" w:firstLine="0"/>
        <w:spacing w:before="0"/>
        <w:jc w:val="both"/>
        <w:tabs defTabSz="708"/>
        <w:rPr>
          <w:color w:val="000000"/>
          <w:sz w:val="22"/>
          <w:szCs w:val="22"/>
        </w:rPr>
      </w:pPr>
      <w:r>
        <w:rPr>
          <w:color w:val="000000"/>
          <w:sz w:val="22"/>
          <w:szCs w:val="22"/>
        </w:rPr>
        <w:t>e) Prova  de regularidade Municipal da sede ou domicilio da empresa;</w:t>
      </w:r>
    </w:p>
    <w:p>
      <w:pPr>
        <w:pStyle w:val="para23"/>
        <w:numPr>
          <w:ilvl w:val="0"/>
          <w:numId w:val="0"/>
        </w:numPr>
        <w:ind w:left="0" w:firstLine="0"/>
        <w:spacing w:before="0"/>
        <w:jc w:val="both"/>
        <w:tabs defTabSz="708"/>
        <w:rPr>
          <w:color w:val="000000"/>
          <w:sz w:val="22"/>
          <w:szCs w:val="22"/>
        </w:rPr>
      </w:pPr>
      <w:r>
        <w:rPr>
          <w:color w:val="000000"/>
          <w:sz w:val="22"/>
          <w:szCs w:val="22"/>
        </w:rPr>
        <w:t>f) Certidão Negativa de débitos junto à Justiça do Trabalho (Lei Federal nº 12.440, de 07 de janeiro de 2011)</w:t>
      </w:r>
    </w:p>
    <w:p>
      <w:pPr>
        <w:pStyle w:val="para23"/>
        <w:numPr>
          <w:ilvl w:val="0"/>
          <w:numId w:val="0"/>
        </w:numPr>
        <w:ind w:left="0" w:firstLine="0"/>
        <w:spacing w:before="0"/>
        <w:jc w:val="both"/>
        <w:tabs defTabSz="708"/>
        <w:rPr>
          <w:color w:val="000000"/>
          <w:sz w:val="22"/>
          <w:szCs w:val="22"/>
        </w:rPr>
      </w:pPr>
      <w:r>
        <w:rPr>
          <w:color w:val="000000"/>
          <w:sz w:val="22"/>
          <w:szCs w:val="22"/>
        </w:rPr>
        <w:t>g) Prova de regularidade Municipal de São Domingos do Norte;</w:t>
      </w:r>
    </w:p>
    <w:p>
      <w:pPr>
        <w:pStyle w:val="para23"/>
        <w:numPr>
          <w:ilvl w:val="0"/>
          <w:numId w:val="0"/>
        </w:numPr>
        <w:ind w:left="0" w:firstLine="0"/>
        <w:spacing w:before="0"/>
        <w:jc w:val="both"/>
        <w:tabs defTabSz="708"/>
        <w:rPr>
          <w:color w:val="000000"/>
          <w:sz w:val="22"/>
          <w:szCs w:val="22"/>
        </w:rPr>
      </w:pPr>
      <w:r>
        <w:rPr>
          <w:color w:val="000000"/>
          <w:sz w:val="22"/>
          <w:szCs w:val="22"/>
        </w:rPr>
        <w:t>h) Certidão Municipal da Sede do município;</w:t>
      </w:r>
    </w:p>
    <w:p>
      <w:pPr>
        <w:pStyle w:val="para23"/>
        <w:numPr>
          <w:ilvl w:val="0"/>
          <w:numId w:val="0"/>
        </w:numPr>
        <w:ind w:left="0" w:firstLine="0"/>
        <w:spacing w:before="0"/>
        <w:jc w:val="both"/>
        <w:tabs defTabSz="708"/>
        <w:rPr>
          <w:color w:val="000000"/>
          <w:sz w:val="22"/>
          <w:szCs w:val="22"/>
        </w:rPr>
      </w:pPr>
      <w:r>
        <w:rPr>
          <w:color w:val="000000"/>
          <w:sz w:val="22"/>
          <w:szCs w:val="22"/>
        </w:rPr>
      </w:r>
    </w:p>
    <w:p>
      <w:pPr>
        <w:pStyle w:val="para23"/>
        <w:numPr>
          <w:ilvl w:val="0"/>
          <w:numId w:val="0"/>
        </w:numPr>
        <w:ind w:left="0" w:firstLine="0"/>
        <w:spacing w:before="0"/>
        <w:jc w:val="both"/>
        <w:tabs defTabSz="708"/>
        <w:rPr>
          <w:color w:val="000000"/>
          <w:sz w:val="22"/>
          <w:szCs w:val="22"/>
        </w:rPr>
      </w:pPr>
      <w:r>
        <w:rPr>
          <w:color w:val="000000"/>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3"/>
        <w:numPr>
          <w:ilvl w:val="0"/>
          <w:numId w:val="0"/>
        </w:numPr>
        <w:ind w:left="0" w:firstLine="0"/>
        <w:spacing w:before="0"/>
        <w:jc w:val="both"/>
        <w:tabs defTabSz="708"/>
        <w:rPr>
          <w:color w:val="000000"/>
          <w:sz w:val="22"/>
          <w:szCs w:val="22"/>
        </w:rPr>
      </w:pPr>
      <w:r>
        <w:rPr>
          <w:color w:val="000000"/>
          <w:sz w:val="22"/>
          <w:szCs w:val="22"/>
        </w:rPr>
        <w:t>§2º. Nos casos de microempresas, empresas de pequeno porte ou equiparadas, não se exige comprovação de regularidade fiscal para fins de habilitação, mas somente para formalização da contratação, observadas as seguintes regras:</w:t>
      </w:r>
    </w:p>
    <w:p>
      <w:pPr>
        <w:pStyle w:val="para23"/>
        <w:numPr>
          <w:ilvl w:val="0"/>
          <w:numId w:val="0"/>
        </w:numPr>
        <w:ind w:left="0" w:firstLine="0"/>
        <w:spacing w:before="0"/>
        <w:jc w:val="both"/>
        <w:tabs defTabSz="708"/>
        <w:rPr>
          <w:color w:val="000000"/>
          <w:sz w:val="22"/>
          <w:szCs w:val="22"/>
        </w:rPr>
      </w:pPr>
      <w:r>
        <w:rPr>
          <w:color w:val="000000"/>
          <w:sz w:val="22"/>
          <w:szCs w:val="22"/>
        </w:rPr>
        <w:t>I – a licitante deverá apresentar, à época da habilitação, todos os documentos exigidos para efeito de comprovação de regularidade fiscal, mesmo que apresentem alguma restrição;</w:t>
      </w:r>
    </w:p>
    <w:p>
      <w:pPr>
        <w:pStyle w:val="para23"/>
        <w:numPr>
          <w:ilvl w:val="0"/>
          <w:numId w:val="0"/>
        </w:numPr>
        <w:ind w:left="0" w:firstLine="0"/>
        <w:spacing w:before="0"/>
        <w:jc w:val="both"/>
        <w:tabs defTabSz="708"/>
        <w:rPr>
          <w:color w:val="000000"/>
          <w:sz w:val="22"/>
          <w:szCs w:val="22"/>
        </w:rPr>
      </w:pPr>
      <w:r>
        <w:rPr>
          <w:color w:val="000000"/>
          <w:sz w:val="22"/>
          <w:szCs w:val="22"/>
        </w:rPr>
        <w:t>II - havendo alguma restrição na comprovação da regularidade fiscal, é assegurado o prazo de 5 (cinco) dias úteis, contados da apresentação dos documentos, para a regularização da documentação, pagamento ou parcelamento do débito, e emissão de eventuais certidões negativas ou positivas com efeito de certidão negativa;</w:t>
      </w:r>
    </w:p>
    <w:p>
      <w:pPr>
        <w:spacing w:before="0"/>
        <w:jc w:val="both"/>
        <w:tabs defTabSz="708"/>
        <w:rPr>
          <w:color w:val="000000"/>
          <w:sz w:val="22"/>
          <w:szCs w:val="22"/>
        </w:rPr>
      </w:pPr>
      <w:r>
        <w:rPr>
          <w:color w:val="000000"/>
          <w:sz w:val="22"/>
          <w:szCs w:val="22"/>
        </w:rPr>
        <w:t>III - o prazo a que se refere o inciso anterior poderá, a critério da Administração Pública, ser prorrogado por igual período;</w:t>
      </w:r>
    </w:p>
    <w:p>
      <w:pPr>
        <w:spacing w:before="0"/>
        <w:jc w:val="both"/>
        <w:tabs defTabSz="708"/>
        <w:rPr>
          <w:color w:val="000000"/>
          <w:sz w:val="22"/>
          <w:szCs w:val="22"/>
        </w:rPr>
      </w:pPr>
      <w:r>
        <w:rPr>
          <w:color w:val="000000"/>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pPr>
        <w:spacing w:before="0"/>
        <w:jc w:val="both"/>
        <w:tabs defTabSz="708"/>
        <w:rPr>
          <w:color w:val="000000"/>
          <w:sz w:val="22"/>
          <w:szCs w:val="22"/>
        </w:rPr>
      </w:pPr>
      <w:r>
        <w:rPr>
          <w:color w:val="000000"/>
          <w:sz w:val="22"/>
          <w:szCs w:val="22"/>
        </w:rPr>
        <w:t xml:space="preserve">V - na hipótese descrita no inciso anterior, a licitante terá o prazo </w:t>
      </w:r>
      <w:r>
        <w:rPr>
          <w:b/>
          <w:bCs/>
          <w:color w:val="000000"/>
          <w:sz w:val="22"/>
          <w:szCs w:val="22"/>
        </w:rPr>
        <w:t>de 10 (dez) dias</w:t>
      </w:r>
      <w:r>
        <w:rPr>
          <w:color w:val="000000"/>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Pr>
            <w:rStyle w:val="char2"/>
            <w:color w:val="000000"/>
            <w:sz w:val="22"/>
            <w:szCs w:val="22"/>
          </w:rPr>
          <w:t xml:space="preserve">5.172, de 25 de Outubro de </w:t>
        </w:r>
        <w:r>
          <w:rPr>
            <w:rStyle w:val="char2"/>
            <w:color w:val="000000"/>
            <w:sz w:val="22"/>
            <w:szCs w:val="22"/>
          </w:rPr>
          <w:t>1966.</w:t>
        </w:r>
      </w:hyperlink>
      <w:r>
        <w:rPr>
          <w:color w:val="000000"/>
          <w:sz w:val="22"/>
          <w:szCs w:val="22"/>
        </w:rPr>
        <w:t xml:space="preserve"> - CTN;</w:t>
      </w:r>
      <w:r>
        <w:rPr>
          <w:color w:val="000000"/>
          <w:sz w:val="22"/>
          <w:szCs w:val="22"/>
        </w:rPr>
      </w:r>
    </w:p>
    <w:p>
      <w:pPr>
        <w:spacing w:before="0"/>
        <w:jc w:val="both"/>
        <w:tabs defTabSz="708"/>
        <w:rPr>
          <w:color w:val="000000"/>
          <w:sz w:val="22"/>
          <w:szCs w:val="22"/>
        </w:rPr>
      </w:pPr>
      <w:r>
        <w:rPr>
          <w:color w:val="000000"/>
          <w:sz w:val="22"/>
          <w:szCs w:val="22"/>
        </w:rPr>
        <w:t>VI - O prazo a que se refere o inciso anterior poderá, a critério da Administração Pública, ser prorrogado por igual período, uma única vez, se demonstrado pela licitante a impossibilidade de o órgão competente emitir a certidão;</w:t>
      </w:r>
    </w:p>
    <w:p>
      <w:pPr>
        <w:spacing w:before="0"/>
        <w:jc w:val="both"/>
        <w:tabs defTabSz="708"/>
        <w:rPr>
          <w:color w:val="000000"/>
          <w:sz w:val="22"/>
          <w:szCs w:val="22"/>
        </w:rPr>
      </w:pPr>
      <w:r>
        <w:rPr>
          <w:color w:val="000000"/>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pPr>
        <w:spacing w:before="0"/>
        <w:jc w:val="both"/>
        <w:tabs defTabSz="708"/>
        <w:rPr>
          <w:color w:val="000000"/>
          <w:sz w:val="22"/>
          <w:szCs w:val="22"/>
        </w:rPr>
      </w:pPr>
      <w:r>
        <w:rPr>
          <w:color w:val="000000"/>
          <w:sz w:val="22"/>
          <w:szCs w:val="22"/>
        </w:rPr>
      </w:r>
    </w:p>
    <w:p>
      <w:pPr>
        <w:pStyle w:val="para23"/>
        <w:numPr>
          <w:ilvl w:val="0"/>
          <w:numId w:val="0"/>
        </w:numPr>
        <w:ind w:left="279"/>
        <w:spacing w:before="0"/>
        <w:jc w:val="both"/>
        <w:tabs defTabSz="708"/>
        <w:rPr>
          <w:b/>
          <w:bCs/>
          <w:color w:val="000000"/>
          <w:sz w:val="22"/>
          <w:szCs w:val="22"/>
        </w:rPr>
      </w:pPr>
      <w:r>
        <w:rPr>
          <w:b/>
          <w:bCs/>
          <w:color w:val="000000"/>
          <w:sz w:val="22"/>
          <w:szCs w:val="22"/>
        </w:rPr>
        <w:t>1.3 - DA QUALIFICAÇÃO TÉCNICA</w:t>
      </w:r>
    </w:p>
    <w:p>
      <w:pPr>
        <w:pStyle w:val="para23"/>
        <w:numPr>
          <w:ilvl w:val="0"/>
          <w:numId w:val="0"/>
        </w:numPr>
        <w:ind w:left="0" w:firstLine="0"/>
        <w:spacing w:before="0"/>
        <w:jc w:val="both"/>
        <w:tabs defTabSz="708"/>
        <w:rPr>
          <w:color w:val="000000"/>
          <w:sz w:val="22"/>
          <w:szCs w:val="22"/>
        </w:rPr>
      </w:pPr>
      <w:r>
        <w:rPr>
          <w:color w:val="000000"/>
          <w:sz w:val="22"/>
          <w:szCs w:val="22"/>
        </w:rPr>
        <w:t>a) Comprovação de que a licitante forneceu, sem restrição o objeto igual ou semelhante ao indicado no Anexo I do edital. A comprovação será feita por meio de apresentação de atestado, devidamente assinado, carimbado e em papel timbrado da empresa ou órgão comprador, compatível com o objeto desta licitação;</w:t>
      </w:r>
    </w:p>
    <w:p>
      <w:pPr>
        <w:spacing w:before="0"/>
        <w:jc w:val="both"/>
        <w:tabs defTabSz="708"/>
        <w:rPr>
          <w:color w:val="000000"/>
          <w:sz w:val="22"/>
          <w:szCs w:val="22"/>
        </w:rPr>
      </w:pPr>
      <w:r>
        <w:rPr>
          <w:color w:val="000000"/>
          <w:sz w:val="22"/>
          <w:szCs w:val="22"/>
        </w:rPr>
        <w:t>b) Plano de controle Ambiental de acordo com as normas do IEMA – Instituto de Meio Ambiente e Recursos Hídricos.</w:t>
      </w:r>
    </w:p>
    <w:p>
      <w:pPr>
        <w:spacing w:before="0"/>
        <w:jc w:val="both"/>
        <w:tabs defTabSz="708"/>
        <w:rPr>
          <w:color w:val="000000"/>
          <w:sz w:val="22"/>
          <w:szCs w:val="22"/>
        </w:rPr>
      </w:pPr>
      <w:r>
        <w:rPr>
          <w:color w:val="000000"/>
          <w:sz w:val="22"/>
          <w:szCs w:val="22"/>
        </w:rPr>
      </w:r>
    </w:p>
    <w:p>
      <w:pPr>
        <w:pStyle w:val="para23"/>
        <w:numPr>
          <w:ilvl w:val="0"/>
          <w:numId w:val="0"/>
        </w:numPr>
        <w:ind w:left="0" w:firstLine="0"/>
        <w:spacing w:before="0"/>
        <w:jc w:val="both"/>
        <w:tabs defTabSz="708"/>
        <w:rPr>
          <w:b/>
          <w:bCs/>
          <w:color w:val="000000"/>
          <w:sz w:val="22"/>
          <w:szCs w:val="22"/>
        </w:rPr>
      </w:pPr>
      <w:r>
        <w:rPr>
          <w:b/>
          <w:bCs/>
          <w:color w:val="000000"/>
          <w:sz w:val="22"/>
          <w:szCs w:val="22"/>
        </w:rPr>
        <w:t>1.4 - DA QUALIFICAÇÃO ECONÔMICO-FINANCEIRA</w:t>
      </w:r>
    </w:p>
    <w:p>
      <w:pPr>
        <w:pStyle w:val="para23"/>
        <w:numPr>
          <w:ilvl w:val="0"/>
          <w:numId w:val="0"/>
        </w:numPr>
        <w:ind w:left="0" w:firstLine="0"/>
        <w:spacing w:before="0"/>
        <w:jc w:val="both"/>
        <w:tabs defTabSz="708"/>
        <w:rPr>
          <w:sz w:val="22"/>
          <w:szCs w:val="22"/>
        </w:rPr>
      </w:pPr>
      <w:r>
        <w:rPr>
          <w:sz w:val="22"/>
          <w:szCs w:val="22"/>
        </w:rPr>
        <w:t xml:space="preserve">a) Balanço Patrimonial e Demonstrações Contábeis do último exercício social, </w:t>
      </w:r>
      <w:r>
        <w:rPr>
          <w:b/>
          <w:sz w:val="22"/>
          <w:szCs w:val="22"/>
        </w:rPr>
        <w:t>na forma da Lei</w:t>
      </w:r>
      <w:r>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pPr>
        <w:pStyle w:val="para23"/>
        <w:numPr>
          <w:ilvl w:val="0"/>
          <w:numId w:val="0"/>
        </w:numPr>
        <w:ind w:left="0" w:firstLine="0"/>
        <w:spacing w:before="0"/>
        <w:jc w:val="both"/>
        <w:tabs defTabSz="708"/>
        <w:rPr>
          <w:i/>
          <w:sz w:val="22"/>
          <w:szCs w:val="22"/>
        </w:rPr>
      </w:pPr>
      <w:r>
        <w:rPr>
          <w:i/>
          <w:sz w:val="22"/>
          <w:szCs w:val="22"/>
        </w:rPr>
        <w:t>- Serão considerados aceitos como forma da lei o balanço patrimonial e demonstrações contábeis assim apresentados:</w:t>
      </w:r>
    </w:p>
    <w:p>
      <w:pPr>
        <w:pStyle w:val="para23"/>
        <w:numPr>
          <w:ilvl w:val="0"/>
          <w:numId w:val="0"/>
        </w:numPr>
        <w:ind w:left="0" w:firstLine="0"/>
        <w:spacing w:before="0"/>
        <w:jc w:val="both"/>
        <w:tabs defTabSz="708"/>
        <w:rPr>
          <w:i/>
          <w:sz w:val="22"/>
          <w:szCs w:val="22"/>
        </w:rPr>
      </w:pPr>
      <w:r>
        <w:rPr>
          <w:i/>
          <w:sz w:val="22"/>
          <w:szCs w:val="22"/>
        </w:rPr>
        <w:t>a.1) cooperativas: os que tiverem aprovados pela Assembleia Geral Anual Competente para apreciá-los;</w:t>
      </w:r>
    </w:p>
    <w:p>
      <w:pPr>
        <w:pStyle w:val="para23"/>
        <w:numPr>
          <w:ilvl w:val="0"/>
          <w:numId w:val="0"/>
        </w:numPr>
        <w:ind w:left="0" w:firstLine="0"/>
        <w:spacing w:before="0"/>
        <w:jc w:val="both"/>
        <w:tabs defTabSz="708"/>
        <w:rPr>
          <w:i/>
          <w:sz w:val="22"/>
          <w:szCs w:val="22"/>
        </w:rPr>
      </w:pPr>
      <w:r>
        <w:rPr>
          <w:i/>
          <w:sz w:val="22"/>
          <w:szCs w:val="22"/>
        </w:rPr>
        <w:t>a.2) sociedades regidas pela Lei n° 6.404/76 (sociedade anônima):</w:t>
      </w:r>
    </w:p>
    <w:p>
      <w:pPr>
        <w:pStyle w:val="para23"/>
        <w:numPr>
          <w:ilvl w:val="0"/>
          <w:numId w:val="0"/>
        </w:numPr>
        <w:ind w:left="0" w:firstLine="0"/>
        <w:spacing w:before="0"/>
        <w:jc w:val="both"/>
        <w:tabs defTabSz="708"/>
        <w:rPr>
          <w:i/>
          <w:sz w:val="22"/>
          <w:szCs w:val="22"/>
        </w:rPr>
      </w:pPr>
      <w:r>
        <w:rPr>
          <w:i/>
          <w:sz w:val="22"/>
          <w:szCs w:val="22"/>
        </w:rPr>
        <w:t>- publicados em Diário Oficial; ou</w:t>
      </w:r>
    </w:p>
    <w:p>
      <w:pPr>
        <w:pStyle w:val="para23"/>
        <w:numPr>
          <w:ilvl w:val="0"/>
          <w:numId w:val="0"/>
        </w:numPr>
        <w:ind w:left="0" w:firstLine="0"/>
        <w:spacing w:before="0"/>
        <w:jc w:val="both"/>
        <w:tabs defTabSz="708"/>
        <w:rPr>
          <w:i/>
          <w:sz w:val="22"/>
          <w:szCs w:val="22"/>
        </w:rPr>
      </w:pPr>
      <w:r>
        <w:rPr>
          <w:i/>
          <w:sz w:val="22"/>
          <w:szCs w:val="22"/>
        </w:rPr>
        <w:t>- publicados em jornal de grande circulação; ou</w:t>
      </w:r>
    </w:p>
    <w:p>
      <w:pPr>
        <w:pStyle w:val="para23"/>
        <w:numPr>
          <w:ilvl w:val="0"/>
          <w:numId w:val="0"/>
        </w:numPr>
        <w:ind w:left="0" w:firstLine="0"/>
        <w:spacing w:before="0"/>
        <w:jc w:val="both"/>
        <w:tabs defTabSz="708"/>
        <w:rPr>
          <w:i/>
          <w:sz w:val="22"/>
          <w:szCs w:val="22"/>
        </w:rPr>
      </w:pPr>
      <w:r>
        <w:rPr>
          <w:i/>
          <w:sz w:val="22"/>
          <w:szCs w:val="22"/>
        </w:rPr>
        <w:t>- por fotocópia registrada ou autenticada na Junta Comercial da sede ou domicilio da licitante.</w:t>
      </w:r>
    </w:p>
    <w:p>
      <w:pPr>
        <w:pStyle w:val="para23"/>
        <w:numPr>
          <w:ilvl w:val="0"/>
          <w:numId w:val="0"/>
        </w:numPr>
        <w:ind w:left="0" w:firstLine="0"/>
        <w:spacing w:before="0"/>
        <w:jc w:val="both"/>
        <w:tabs defTabSz="708"/>
        <w:rPr>
          <w:sz w:val="22"/>
          <w:szCs w:val="22"/>
        </w:rPr>
      </w:pPr>
      <w:r>
        <w:rPr>
          <w:sz w:val="22"/>
          <w:szCs w:val="22"/>
        </w:rPr>
        <w:t xml:space="preserve">a.3) sociedades limitadas (LTDA)/ </w:t>
      </w:r>
      <w:r>
        <w:rPr>
          <w:b/>
          <w:sz w:val="22"/>
          <w:szCs w:val="22"/>
        </w:rPr>
        <w:t>sociedades sujeitas ao regime estabelecido na Lei Complementar n° 123, de 14 de dezembro de 2020 – Lei das Microempresas e das Empresas de Pequeno Porte (“SIMPLES”):</w:t>
      </w:r>
      <w:r>
        <w:rPr>
          <w:sz w:val="22"/>
          <w:szCs w:val="22"/>
        </w:rPr>
      </w:r>
    </w:p>
    <w:p>
      <w:pPr>
        <w:pStyle w:val="para23"/>
        <w:numPr>
          <w:ilvl w:val="0"/>
          <w:numId w:val="0"/>
        </w:numPr>
        <w:ind w:left="0" w:firstLine="0"/>
        <w:spacing w:before="0"/>
        <w:jc w:val="both"/>
        <w:tabs defTabSz="708"/>
        <w:rPr>
          <w:i/>
          <w:sz w:val="22"/>
          <w:szCs w:val="22"/>
        </w:rPr>
      </w:pPr>
      <w:r>
        <w:rPr>
          <w:i/>
          <w:sz w:val="22"/>
          <w:szCs w:val="22"/>
        </w:rPr>
        <w:t>- por fotocópia do livro Diário, inclusive com os Termos de Abertura e de Encerramento, devidamente autenticado na Junta Comercial da sede ou domicilio da licitante ou em outro órgão equivalente; ou</w:t>
      </w:r>
    </w:p>
    <w:p>
      <w:pPr>
        <w:pStyle w:val="para23"/>
        <w:numPr>
          <w:ilvl w:val="0"/>
          <w:numId w:val="0"/>
        </w:numPr>
        <w:ind w:left="0" w:firstLine="0"/>
        <w:spacing w:before="0"/>
        <w:jc w:val="both"/>
        <w:tabs defTabSz="708"/>
        <w:rPr>
          <w:i/>
          <w:sz w:val="22"/>
          <w:szCs w:val="22"/>
        </w:rPr>
      </w:pPr>
      <w:r>
        <w:rPr>
          <w:i/>
          <w:sz w:val="22"/>
          <w:szCs w:val="22"/>
        </w:rPr>
        <w:t>- fotocópia do Balanço e das Demonstrações Contábeis devidamente registrados ou autenticados na Junta Comercial da sede ou domicilio da licitante.</w:t>
      </w:r>
    </w:p>
    <w:p>
      <w:pPr>
        <w:pStyle w:val="para23"/>
        <w:numPr>
          <w:ilvl w:val="0"/>
          <w:numId w:val="0"/>
        </w:numPr>
        <w:ind w:left="0" w:firstLine="0"/>
        <w:spacing w:before="0"/>
        <w:jc w:val="both"/>
        <w:tabs defTabSz="708"/>
        <w:rPr>
          <w:b/>
          <w:sz w:val="22"/>
          <w:szCs w:val="22"/>
        </w:rPr>
      </w:pPr>
      <w:r>
        <w:rPr>
          <w:b/>
          <w:sz w:val="22"/>
          <w:szCs w:val="22"/>
        </w:rPr>
        <w:t>a.4) sociedade criada no exercício em curso: fotocópia do Balanço de Abertura, devidamente registrado ou autenticado na Junta Comercial da sede ou domicilio das licitantes:</w:t>
      </w:r>
    </w:p>
    <w:p>
      <w:pPr>
        <w:pStyle w:val="para23"/>
        <w:numPr>
          <w:ilvl w:val="0"/>
          <w:numId w:val="0"/>
        </w:numPr>
        <w:ind w:left="0" w:firstLine="0"/>
        <w:spacing w:before="0"/>
        <w:jc w:val="both"/>
        <w:tabs defTabSz="708"/>
        <w:rPr>
          <w:i/>
          <w:sz w:val="22"/>
          <w:szCs w:val="22"/>
        </w:rPr>
      </w:pPr>
      <w:r>
        <w:rPr>
          <w:i/>
          <w:sz w:val="22"/>
          <w:szCs w:val="22"/>
        </w:rPr>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pPr>
        <w:pStyle w:val="para29"/>
        <w:numPr>
          <w:ilvl w:val="0"/>
          <w:numId w:val="0"/>
        </w:numPr>
        <w:ind w:left="0" w:firstLine="0"/>
        <w:spacing w:before="0" w:after="0"/>
        <w:jc w:val="both"/>
        <w:tabs defTabSz="708"/>
        <w:rPr>
          <w:i/>
          <w:sz w:val="22"/>
          <w:szCs w:val="22"/>
        </w:rPr>
      </w:pPr>
      <w:r>
        <w:rPr>
          <w:i/>
          <w:sz w:val="22"/>
          <w:szCs w:val="22"/>
        </w:rPr>
        <w:t>b) Certidão Negativa de Falência, Recuperação Judicial e Recuperação Extrajudicial expedida pelo distribuidor da sede da pessoa jurídica, com data de emissão de no máximo 30 (trinta) dias, anteriores à data fixada para a sessão de abertura da licitação.</w:t>
      </w:r>
    </w:p>
    <w:p>
      <w:pPr>
        <w:pStyle w:val="para29"/>
        <w:numPr>
          <w:ilvl w:val="0"/>
          <w:numId w:val="0"/>
        </w:numPr>
        <w:ind w:left="0" w:firstLine="0"/>
        <w:spacing w:before="0" w:after="0"/>
        <w:jc w:val="both"/>
        <w:tabs defTabSz="708"/>
        <w:rPr>
          <w:sz w:val="22"/>
          <w:szCs w:val="22"/>
        </w:rPr>
      </w:pPr>
      <w:r>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9"/>
        <w:numPr>
          <w:ilvl w:val="0"/>
          <w:numId w:val="0"/>
        </w:numPr>
        <w:ind w:left="0" w:firstLine="0"/>
        <w:spacing w:before="0" w:after="0"/>
        <w:jc w:val="both"/>
        <w:tabs defTabSz="708"/>
        <w:rPr>
          <w:color w:val="000000"/>
          <w:sz w:val="22"/>
          <w:szCs w:val="22"/>
        </w:rPr>
      </w:pPr>
      <w:r>
        <w:rPr>
          <w:color w:val="000000"/>
          <w:sz w:val="22"/>
          <w:szCs w:val="22"/>
        </w:rPr>
      </w:r>
    </w:p>
    <w:p>
      <w:pPr>
        <w:spacing w:before="0"/>
        <w:jc w:val="both"/>
        <w:tabs defTabSz="708"/>
        <w:rPr>
          <w:b/>
          <w:bCs/>
          <w:color w:val="000000"/>
          <w:sz w:val="22"/>
          <w:szCs w:val="22"/>
        </w:rPr>
      </w:pPr>
      <w:r>
        <w:rPr>
          <w:b/>
          <w:bCs/>
          <w:color w:val="000000"/>
          <w:sz w:val="22"/>
          <w:szCs w:val="22"/>
        </w:rPr>
        <w:t>1.5 – DA DECLARAÇÃO DE ATENDIMENTO AO INCISO XXXIII, ART. 7º, DA CONSTITUIÇÃO FEDERAL.</w:t>
      </w:r>
    </w:p>
    <w:p>
      <w:pPr>
        <w:pStyle w:val="para23"/>
        <w:numPr>
          <w:ilvl w:val="0"/>
          <w:numId w:val="0"/>
        </w:numPr>
        <w:ind w:left="0" w:firstLine="0"/>
        <w:spacing w:before="0"/>
        <w:jc w:val="both"/>
        <w:tabs defTabSz="708"/>
        <w:rPr>
          <w:color w:val="000000"/>
          <w:sz w:val="22"/>
          <w:szCs w:val="22"/>
        </w:rPr>
      </w:pPr>
      <w:r>
        <w:rPr>
          <w:color w:val="000000"/>
          <w:sz w:val="22"/>
          <w:szCs w:val="22"/>
        </w:rPr>
        <w:t>a) Declaração de cumprimento de inexistência no quadro funcional da empresa, de menor de dezoito anos desempenhando trabalho noturno, perigoso ou insalubre ou qualquer trabalha por menor de dezesseis anos, a não ser que seja contratado na condição de aprendiz, a partir dos quatorze anos (Lei 9.854, de 27/10/99).</w:t>
      </w:r>
    </w:p>
    <w:p>
      <w:pPr>
        <w:spacing w:before="0"/>
        <w:tabs defTabSz="708"/>
        <w:rPr>
          <w:b/>
          <w:color w:val="000000"/>
          <w:sz w:val="22"/>
          <w:szCs w:val="22"/>
        </w:rPr>
      </w:pPr>
      <w:r>
        <w:rPr>
          <w:b/>
          <w:color w:val="000000"/>
          <w:sz w:val="22"/>
          <w:szCs w:val="22"/>
        </w:rPr>
      </w:r>
    </w:p>
    <w:p>
      <w:pPr>
        <w:spacing w:before="0"/>
        <w:jc w:val="both"/>
        <w:tabs defTabSz="708"/>
        <w:rPr>
          <w:b/>
          <w:color w:val="000000"/>
          <w:sz w:val="22"/>
          <w:szCs w:val="22"/>
        </w:rPr>
      </w:pPr>
      <w:r>
        <w:rPr>
          <w:b/>
          <w:color w:val="000000"/>
          <w:sz w:val="22"/>
          <w:szCs w:val="22"/>
        </w:rPr>
        <w:t>1.6 - DA COMPROVAÇÃO DA CONDIÇÃO DE MICROEMPRESAS OU EMPRESAS DE PEQUENO PORTE OU EQUIPARADAS</w:t>
      </w:r>
    </w:p>
    <w:p>
      <w:pPr>
        <w:pStyle w:val="para23"/>
        <w:numPr>
          <w:ilvl w:val="0"/>
          <w:numId w:val="0"/>
        </w:numPr>
        <w:ind w:left="0" w:firstLine="0"/>
        <w:spacing w:before="0"/>
        <w:jc w:val="both"/>
        <w:tabs defTabSz="708"/>
        <w:rPr>
          <w:color w:val="000000"/>
          <w:sz w:val="22"/>
          <w:szCs w:val="22"/>
        </w:rPr>
      </w:pPr>
      <w:r>
        <w:rPr>
          <w:color w:val="000000"/>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pPr>
        <w:spacing w:before="0"/>
        <w:jc w:val="both"/>
        <w:tabs defTabSz="708"/>
        <w:rPr>
          <w:color w:val="000000"/>
          <w:sz w:val="22"/>
          <w:szCs w:val="22"/>
        </w:rPr>
      </w:pPr>
      <w:r>
        <w:rPr>
          <w:color w:val="000000"/>
          <w:sz w:val="22"/>
          <w:szCs w:val="22"/>
        </w:rPr>
        <w:t>1.6.2. Declaração, firmada pelo representante legal da empresa, de não haver nenhum dos impedimentos previstos do § 4º do Art. 3º da LC 123/06.</w:t>
      </w:r>
    </w:p>
    <w:p>
      <w:pPr>
        <w:pStyle w:val="para23"/>
        <w:numPr>
          <w:ilvl w:val="0"/>
          <w:numId w:val="0"/>
        </w:numPr>
        <w:ind w:left="0" w:firstLine="0"/>
        <w:spacing w:before="0"/>
        <w:jc w:val="both"/>
        <w:rPr>
          <w:sz w:val="22"/>
          <w:szCs w:val="22"/>
        </w:rPr>
      </w:pPr>
      <w:r>
        <w:rPr>
          <w:color w:val="000000"/>
          <w:sz w:val="22"/>
          <w:szCs w:val="22"/>
        </w:rPr>
        <w:t xml:space="preserve">1.6.3. Anexo XII </w:t>
      </w:r>
      <w:r>
        <w:rPr>
          <w:sz w:val="22"/>
          <w:szCs w:val="22"/>
        </w:rPr>
        <w:t>do presente Edital.</w:t>
      </w:r>
    </w:p>
    <w:p>
      <w:pPr>
        <w:pStyle w:val="para23"/>
        <w:numPr>
          <w:ilvl w:val="0"/>
          <w:numId w:val="0"/>
        </w:numPr>
        <w:ind w:left="0" w:firstLine="0"/>
        <w:spacing w:before="0"/>
        <w:jc w:val="both"/>
        <w:rPr>
          <w:color w:val="000000"/>
          <w:sz w:val="22"/>
          <w:szCs w:val="22"/>
        </w:rPr>
      </w:pPr>
      <w:r>
        <w:rPr>
          <w:color w:val="000000"/>
          <w:sz w:val="22"/>
          <w:szCs w:val="22"/>
        </w:rPr>
        <w:t>1.6.4. Se a comprovação de ME e EPP for apresentada no credenciamento, esta está dispensada de ser apresentada novamente na envelope de Habilitação.</w:t>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spacing w:before="0"/>
        <w:rPr>
          <w:color w:val="000000"/>
          <w:sz w:val="22"/>
          <w:szCs w:val="22"/>
        </w:rPr>
      </w:pPr>
      <w:r>
        <w:rPr>
          <w:color w:val="000000"/>
          <w:sz w:val="22"/>
          <w:szCs w:val="22"/>
        </w:rPr>
      </w:r>
    </w:p>
    <w:p>
      <w:pPr>
        <w:pStyle w:val="para32"/>
        <w:spacing w:before="0" w:after="0"/>
        <w:rPr>
          <w:i w:val="0"/>
          <w:iCs w:val="0"/>
          <w:color w:val="000000"/>
          <w:sz w:val="22"/>
          <w:szCs w:val="22"/>
        </w:rPr>
      </w:pPr>
      <w:r>
        <w:rPr>
          <w:i w:val="0"/>
          <w:iCs w:val="0"/>
          <w:color w:val="000000"/>
          <w:sz w:val="22"/>
          <w:szCs w:val="22"/>
        </w:rPr>
      </w:r>
    </w:p>
    <w:p>
      <w:pPr>
        <w:pStyle w:val="para32"/>
        <w:spacing w:before="0" w:after="0"/>
        <w:rPr>
          <w:i w:val="0"/>
          <w:iCs w:val="0"/>
          <w:color w:val="000000"/>
          <w:sz w:val="22"/>
          <w:szCs w:val="22"/>
        </w:rPr>
      </w:pPr>
      <w:r>
        <w:rPr>
          <w:i w:val="0"/>
          <w:iCs w:val="0"/>
          <w:color w:val="000000"/>
          <w:sz w:val="22"/>
          <w:szCs w:val="22"/>
        </w:rPr>
      </w:r>
    </w:p>
    <w:p>
      <w:pPr>
        <w:pStyle w:val="para32"/>
        <w:spacing w:before="0" w:after="0"/>
        <w:rPr>
          <w:i w:val="0"/>
          <w:iCs w:val="0"/>
          <w:color w:val="000000"/>
          <w:sz w:val="22"/>
          <w:szCs w:val="22"/>
        </w:rPr>
      </w:pPr>
      <w:r>
        <w:rPr>
          <w:i w:val="0"/>
          <w:iCs w:val="0"/>
          <w:color w:val="000000"/>
          <w:sz w:val="22"/>
          <w:szCs w:val="22"/>
        </w:rPr>
        <w:t>PREGÃO PRESENCIAL Nº 03/2020</w:t>
      </w:r>
    </w:p>
    <w:p>
      <w:pPr>
        <w:pStyle w:val="para33"/>
        <w:spacing w:before="0"/>
        <w:rPr>
          <w:color w:val="000000"/>
          <w:sz w:val="22"/>
          <w:szCs w:val="22"/>
        </w:rPr>
      </w:pPr>
      <w:r>
        <w:rPr>
          <w:color w:val="000000"/>
          <w:sz w:val="22"/>
          <w:szCs w:val="22"/>
        </w:rPr>
        <w:t>ANEXO V - DECLARAÇÃO DE ATENDIMENTO AO INCISO XXXIII DO ART. 7.º DA CONSTITUIÇÃO FEDERAL</w:t>
      </w:r>
    </w:p>
    <w:p>
      <w:pPr>
        <w:pStyle w:val="para33"/>
        <w:spacing w:before="0"/>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pPr>
        <w:pStyle w:val="para25"/>
        <w:spacing w:before="0" w:after="0"/>
        <w:jc w:val="both"/>
        <w:rPr>
          <w:color w:val="000000"/>
          <w:sz w:val="22"/>
          <w:szCs w:val="22"/>
        </w:rPr>
      </w:pPr>
      <w:r>
        <w:rPr>
          <w:color w:val="000000"/>
          <w:sz w:val="22"/>
          <w:szCs w:val="22"/>
        </w:rPr>
        <w:t>Ressalva: empregamos menores, a partir de 14 (quatorze) anos, na condição de aprendizes ( ).</w:t>
      </w:r>
    </w:p>
    <w:p>
      <w:pPr>
        <w:pStyle w:val="para25"/>
        <w:spacing w:before="0" w:after="0"/>
        <w:jc w:val="both"/>
        <w:rPr>
          <w:color w:val="000000"/>
          <w:sz w:val="22"/>
          <w:szCs w:val="22"/>
        </w:rPr>
      </w:pPr>
      <w:r>
        <w:rPr>
          <w:color w:val="000000"/>
          <w:sz w:val="22"/>
          <w:szCs w:val="22"/>
        </w:rPr>
        <w:t>Observação: em caso afirmativo, assinalar a ressalva acima.</w:t>
      </w:r>
    </w:p>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t>São Domingos do Norte/ES, ......... de ........................ de .........</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Licitante interessado</w:t>
      </w:r>
    </w:p>
    <w:p>
      <w:pPr>
        <w:spacing w:before="0"/>
        <w:jc w:val="both"/>
        <w:rPr>
          <w:color w:val="000000"/>
          <w:sz w:val="22"/>
          <w:szCs w:val="22"/>
        </w:rPr>
      </w:pPr>
      <w:r>
        <w:rPr>
          <w:color w:val="000000"/>
          <w:sz w:val="22"/>
          <w:szCs w:val="22"/>
        </w:rPr>
      </w:r>
    </w:p>
    <w:p>
      <w:pPr>
        <w:pStyle w:val="para1"/>
        <w:spacing w:before="0"/>
        <w:jc w:val="center"/>
        <w:rPr>
          <w:color w:val="000000"/>
          <w:sz w:val="22"/>
          <w:szCs w:val="22"/>
        </w:rPr>
      </w:pPr>
      <w:r>
        <w:rPr>
          <w:color w:val="000000"/>
          <w:sz w:val="22"/>
          <w:szCs w:val="22"/>
        </w:rPr>
      </w:r>
    </w:p>
    <w:p>
      <w:pPr>
        <w:pStyle w:val="para1"/>
        <w:spacing w:before="0"/>
        <w:jc w:val="center"/>
        <w:rPr>
          <w:color w:val="000000"/>
          <w:sz w:val="22"/>
          <w:szCs w:val="22"/>
        </w:rPr>
      </w:pPr>
      <w:r>
        <w:rPr>
          <w:color w:val="000000"/>
          <w:sz w:val="22"/>
          <w:szCs w:val="22"/>
        </w:rPr>
      </w:r>
    </w:p>
    <w:p>
      <w:pPr>
        <w:spacing w:before="0"/>
        <w:jc w:val="both"/>
        <w:rPr>
          <w:b/>
          <w:i/>
          <w:sz w:val="22"/>
          <w:szCs w:val="22"/>
        </w:rPr>
      </w:pPr>
      <w:r>
        <w:rPr>
          <w:b/>
          <w:i/>
          <w:sz w:val="22"/>
          <w:szCs w:val="22"/>
        </w:rPr>
        <w:t>Apresentar na Habilitação</w:t>
      </w:r>
    </w:p>
    <w:p>
      <w:pPr>
        <w:pStyle w:val="para1"/>
        <w:spacing w:before="0"/>
        <w:jc w:val="center"/>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t xml:space="preserve">                                                          </w:t>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color w:val="000000"/>
          <w:sz w:val="22"/>
          <w:szCs w:val="22"/>
        </w:rPr>
      </w:pPr>
      <w:r>
        <w:rPr>
          <w:color w:val="000000"/>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color w:val="000000"/>
          <w:sz w:val="22"/>
          <w:szCs w:val="22"/>
        </w:rPr>
      </w:pPr>
      <w:r>
        <w:rPr>
          <w:b/>
          <w:color w:val="000000"/>
          <w:sz w:val="22"/>
          <w:szCs w:val="22"/>
        </w:rPr>
        <w:t>ANEXO VI</w:t>
      </w: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t>PREGÃO PRESENCIAL Nº 03/2020 - SRP.</w:t>
      </w:r>
    </w:p>
    <w:p>
      <w:pPr>
        <w:spacing w:before="0"/>
        <w:rPr>
          <w:b/>
          <w:color w:val="000000"/>
          <w:sz w:val="22"/>
          <w:szCs w:val="22"/>
        </w:rPr>
      </w:pPr>
      <w:r>
        <w:rPr>
          <w:b/>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SÃO DOMINGOS DO NORTE,           de            de 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Ao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Pregoeiro do Município de SÃO DOMINGOS DO NORTE/ES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Assunto: Declaração de atendimento de exigências habilitatórias para participação no Pregão Presencial 03/2020 - SRP.</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rPr>
          <w:color w:val="000000"/>
          <w:sz w:val="22"/>
          <w:szCs w:val="22"/>
        </w:rPr>
      </w:pPr>
      <w:r>
        <w:rPr>
          <w:color w:val="000000"/>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Pr>
          <w:rStyle w:val="char3"/>
          <w:i w:val="0"/>
          <w:color w:val="000000"/>
          <w:sz w:val="22"/>
          <w:szCs w:val="22"/>
        </w:rPr>
        <w:t xml:space="preserve"> </w:t>
      </w:r>
      <w:r>
        <w:rPr>
          <w:color w:val="000000"/>
          <w:sz w:val="22"/>
          <w:szCs w:val="22"/>
        </w:rPr>
        <w:t xml:space="preserve">no presente processo licitatório, </w:t>
      </w:r>
      <w:r>
        <w:rPr>
          <w:rStyle w:val="char3"/>
          <w:i w:val="0"/>
          <w:color w:val="000000"/>
          <w:sz w:val="22"/>
          <w:szCs w:val="22"/>
        </w:rPr>
        <w:t xml:space="preserve">na forma do Art. 32, § 2, da Lei 8.666/93 , </w:t>
      </w:r>
      <w:r>
        <w:rPr>
          <w:color w:val="000000"/>
          <w:sz w:val="22"/>
          <w:szCs w:val="22"/>
        </w:rPr>
        <w:t>ciente da obrigatoriedade de declarar, em havendo, ocorrências posteriores que o inabilite para participar de certames licitatórios.</w:t>
      </w:r>
      <w:r>
        <w:rPr>
          <w:color w:val="000000"/>
          <w:sz w:val="22"/>
          <w:szCs w:val="22"/>
        </w:rPr>
        <w:tab/>
      </w: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(Nome completo por extenso do responsável pela Pessoa Jurídica)</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(assinatura e carimbo do CNPJ)</w:t>
      </w:r>
    </w:p>
    <w:p>
      <w:pPr>
        <w:pStyle w:val="para3"/>
        <w:spacing w:before="0"/>
        <w:jc w:val="center"/>
        <w:tabs defTabSz="709">
          <w:tab w:val="left" w:pos="0" w:leader="none"/>
        </w:tabs>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color w:val="000000"/>
          <w:spacing w:val="76"/>
          <w:sz w:val="22"/>
          <w:szCs w:val="22"/>
        </w:rPr>
      </w:pPr>
      <w:r>
        <w:rPr>
          <w:color w:val="000000"/>
          <w:spacing w:val="76"/>
          <w:sz w:val="22"/>
          <w:szCs w:val="22"/>
        </w:rPr>
      </w:r>
    </w:p>
    <w:p>
      <w:pPr>
        <w:rPr>
          <w:sz w:val="22"/>
          <w:szCs w:val="22"/>
        </w:rPr>
      </w:pPr>
      <w:r>
        <w:rPr>
          <w:sz w:val="22"/>
          <w:szCs w:val="22"/>
        </w:rPr>
      </w:r>
    </w:p>
    <w:p>
      <w:pPr>
        <w:spacing w:before="0"/>
        <w:rPr>
          <w:color w:val="000000"/>
          <w:sz w:val="22"/>
          <w:szCs w:val="22"/>
        </w:rPr>
      </w:pPr>
      <w:r>
        <w:rPr>
          <w:color w:val="000000"/>
          <w:sz w:val="22"/>
          <w:szCs w:val="22"/>
        </w:rPr>
      </w:r>
    </w:p>
    <w:p>
      <w:pPr>
        <w:spacing w:before="0"/>
        <w:jc w:val="both"/>
        <w:rPr>
          <w:b/>
          <w:i/>
          <w:sz w:val="22"/>
          <w:szCs w:val="22"/>
        </w:rPr>
      </w:pPr>
      <w:r>
        <w:rPr>
          <w:b/>
          <w:i/>
          <w:sz w:val="22"/>
          <w:szCs w:val="22"/>
        </w:rPr>
        <w:t>* deverá ser apresentado no Credenciamento.</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pStyle w:val="para1"/>
        <w:spacing w:before="0"/>
        <w:jc w:val="center"/>
        <w:rPr>
          <w:iCs/>
          <w:color w:val="000000"/>
          <w:sz w:val="22"/>
          <w:szCs w:val="22"/>
        </w:rPr>
      </w:pPr>
      <w:r>
        <w:rPr>
          <w:iCs/>
          <w:color w:val="000000"/>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pStyle w:val="para1"/>
        <w:spacing w:before="0"/>
        <w:jc w:val="center"/>
        <w:rPr>
          <w:iCs/>
          <w:color w:val="000000"/>
          <w:sz w:val="22"/>
          <w:szCs w:val="22"/>
        </w:rPr>
      </w:pPr>
      <w:r>
        <w:rPr>
          <w:iCs/>
          <w:color w:val="000000"/>
          <w:sz w:val="22"/>
          <w:szCs w:val="22"/>
        </w:rPr>
      </w:r>
    </w:p>
    <w:p>
      <w:pPr>
        <w:pStyle w:val="para1"/>
        <w:spacing w:before="0"/>
        <w:jc w:val="center"/>
        <w:rPr>
          <w:iCs/>
          <w:color w:val="000000"/>
          <w:sz w:val="22"/>
          <w:szCs w:val="22"/>
        </w:rPr>
      </w:pPr>
      <w:r>
        <w:rPr>
          <w:iCs/>
          <w:color w:val="000000"/>
          <w:sz w:val="22"/>
          <w:szCs w:val="22"/>
        </w:rPr>
        <w:t>PREGÃO PRESENCIAL N</w:t>
      </w:r>
      <w:r>
        <w:rPr>
          <w:iCs/>
          <w:color w:val="000000"/>
          <w:sz w:val="22"/>
          <w:szCs w:val="22"/>
          <w:u w:color="auto" w:val="single"/>
          <w:vertAlign w:val="superscript"/>
        </w:rPr>
        <w:t>o</w:t>
      </w:r>
      <w:r>
        <w:rPr>
          <w:iCs/>
          <w:color w:val="000000"/>
          <w:sz w:val="22"/>
          <w:szCs w:val="22"/>
        </w:rPr>
        <w:t xml:space="preserve"> 03/2020 - SRP</w:t>
      </w:r>
    </w:p>
    <w:p>
      <w:pPr>
        <w:spacing w:before="0"/>
        <w:rPr>
          <w:b/>
          <w:color w:val="000000"/>
          <w:sz w:val="22"/>
          <w:szCs w:val="22"/>
        </w:rPr>
      </w:pPr>
      <w:r>
        <w:rPr>
          <w:b/>
          <w:color w:val="000000"/>
          <w:sz w:val="22"/>
          <w:szCs w:val="22"/>
        </w:rPr>
        <w:t>ANEXO VII</w:t>
      </w:r>
    </w:p>
    <w:p>
      <w:pPr>
        <w:pStyle w:val="para33"/>
        <w:spacing w:before="0"/>
        <w:rPr>
          <w:color w:val="000000"/>
          <w:sz w:val="22"/>
          <w:szCs w:val="22"/>
        </w:rPr>
      </w:pPr>
      <w:r>
        <w:rPr>
          <w:color w:val="000000"/>
          <w:sz w:val="22"/>
          <w:szCs w:val="22"/>
        </w:rPr>
        <w:t>DADOS COMPLEMENTARES PARA ASSINATURA DA ATA DE REGISTRO DE PREÇOS E ASSINATURA DO CONTRATO</w:t>
      </w:r>
    </w:p>
    <w:p>
      <w:pPr>
        <w:pStyle w:val="para33"/>
        <w:spacing w:before="0"/>
        <w:rPr>
          <w:color w:val="000000"/>
          <w:sz w:val="22"/>
          <w:szCs w:val="22"/>
        </w:rPr>
      </w:pPr>
      <w:r>
        <w:rPr>
          <w:color w:val="000000"/>
          <w:sz w:val="22"/>
          <w:szCs w:val="22"/>
        </w:rPr>
      </w:r>
    </w:p>
    <w:tbl>
      <w:tblPr>
        <w:tblStyle w:val="NormalTable"/>
        <w:name w:val="Tabela1"/>
        <w:tabOrder w:val="0"/>
        <w:jc w:val="left"/>
        <w:tblInd w:w="70" w:type="dxa"/>
        <w:tblW w:w="9495" w:type="dxa"/>
        <w:tblLook w:val="0000" w:firstRow="0" w:lastRow="0" w:firstColumn="0" w:lastColumn="0" w:noHBand="0" w:noVBand="0"/>
      </w:tblPr>
      <w:tblGrid>
        <w:gridCol w:w="9495"/>
      </w:tblGrid>
      <w:tr>
        <w:trPr>
          <w:tblHeader w:val="0"/>
          <w:cantSplit w:val="0"/>
          <w:trHeight w:val="567" w:hRule="exact"/>
        </w:trPr>
        <w:tc>
          <w:tcPr>
            <w:tcW w:w="9495" w:type="dxa"/>
            <w:vAlign w:val="center"/>
            <w:tcMar>
              <w:left w:w="70" w:type="dxa"/>
              <w:right w:w="70" w:type="dxa"/>
            </w:tcMar>
            <w:tcBorders>
              <w:top w:val="nil" w:sz="0" w:space="0" w:color="000000" tmln="20, 20, 20, 0, 0"/>
              <w:left w:val="nil" w:sz="0" w:space="0" w:color="000000" tmln="20, 20, 20, 0, 0"/>
              <w:bottom w:val="single" w:sz="4" w:space="0" w:color="000000" tmln="10, 20, 20, 0, 0"/>
              <w:right w:val="nil" w:sz="0" w:space="0" w:color="000000" tmln="20, 20, 20, 0, 0"/>
            </w:tcBorders>
            <w:tmTcPr id="1578588699" protected="0"/>
          </w:tcPr>
          <w:p>
            <w:pPr>
              <w:spacing w:before="0"/>
              <w:jc w:val="both"/>
              <w:rPr>
                <w:color w:val="000000"/>
                <w:sz w:val="22"/>
                <w:szCs w:val="22"/>
              </w:rPr>
            </w:pPr>
            <w:r>
              <w:rPr>
                <w:color w:val="000000"/>
                <w:sz w:val="22"/>
                <w:szCs w:val="22"/>
              </w:rPr>
              <w:t>NOME: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8588699" protected="0"/>
          </w:tcPr>
          <w:p>
            <w:pPr>
              <w:spacing w:before="0"/>
              <w:jc w:val="both"/>
              <w:rPr>
                <w:color w:val="000000"/>
                <w:sz w:val="22"/>
                <w:szCs w:val="22"/>
              </w:rPr>
            </w:pPr>
            <w:r>
              <w:rPr>
                <w:color w:val="000000"/>
                <w:sz w:val="22"/>
                <w:szCs w:val="22"/>
              </w:rPr>
              <w:t>N</w:t>
            </w:r>
            <w:r>
              <w:rPr>
                <w:color w:val="000000"/>
                <w:sz w:val="22"/>
                <w:szCs w:val="22"/>
                <w:u w:color="auto" w:val="single"/>
                <w:vertAlign w:val="superscript"/>
              </w:rPr>
              <w:t>o</w:t>
            </w:r>
            <w:r>
              <w:rPr>
                <w:color w:val="000000"/>
                <w:sz w:val="22"/>
                <w:szCs w:val="22"/>
              </w:rPr>
              <w:t xml:space="preserve"> DE IDENTIDADE: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8588699" protected="0"/>
          </w:tcPr>
          <w:p>
            <w:pPr>
              <w:spacing w:before="0"/>
              <w:jc w:val="both"/>
              <w:rPr>
                <w:color w:val="000000"/>
                <w:sz w:val="22"/>
                <w:szCs w:val="22"/>
              </w:rPr>
            </w:pPr>
            <w:r>
              <w:rPr>
                <w:color w:val="000000"/>
                <w:sz w:val="22"/>
                <w:szCs w:val="22"/>
              </w:rPr>
              <w:t>ÓRGÃO EMISSOR:</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8588699" protected="0"/>
          </w:tcPr>
          <w:p>
            <w:pPr>
              <w:spacing w:before="0"/>
              <w:jc w:val="both"/>
              <w:rPr>
                <w:color w:val="000000"/>
                <w:sz w:val="22"/>
                <w:szCs w:val="22"/>
              </w:rPr>
            </w:pPr>
            <w:r>
              <w:rPr>
                <w:color w:val="000000"/>
                <w:sz w:val="22"/>
                <w:szCs w:val="22"/>
              </w:rPr>
              <w:t>CPF:</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8588699" protected="0"/>
          </w:tcPr>
          <w:p>
            <w:pPr>
              <w:spacing w:before="0"/>
              <w:jc w:val="both"/>
              <w:rPr>
                <w:color w:val="000000"/>
                <w:sz w:val="22"/>
                <w:szCs w:val="22"/>
              </w:rPr>
            </w:pPr>
            <w:r>
              <w:rPr>
                <w:color w:val="000000"/>
                <w:sz w:val="22"/>
                <w:szCs w:val="22"/>
              </w:rPr>
              <w:t>ENDEREÇO COMPLETO DA PESSOA JURÍDICA:</w:t>
            </w:r>
          </w:p>
        </w:tc>
      </w:tr>
    </w:tbl>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t>São Domingos do Norte, .......... de ...................... de ............</w:t>
      </w:r>
    </w:p>
    <w:p>
      <w:pPr>
        <w:pStyle w:val="para28"/>
        <w:spacing w:before="0" w:after="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Assinatura e Carimbo</w:t>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both"/>
        <w:rPr>
          <w:i/>
          <w:sz w:val="22"/>
          <w:szCs w:val="22"/>
        </w:rPr>
      </w:pPr>
      <w:r>
        <w:rPr>
          <w:i/>
          <w:sz w:val="22"/>
          <w:szCs w:val="22"/>
        </w:rPr>
        <w:t>Apresentar na Habilitação</w:t>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t xml:space="preserve">ANEXO VIII </w:t>
      </w:r>
    </w:p>
    <w:p>
      <w:pPr>
        <w:spacing w:before="0"/>
        <w:rPr>
          <w:b/>
          <w:bCs/>
          <w:color w:val="000000"/>
          <w:sz w:val="22"/>
          <w:szCs w:val="22"/>
        </w:rPr>
      </w:pPr>
      <w:r>
        <w:rPr>
          <w:b/>
          <w:bCs/>
          <w:color w:val="000000"/>
          <w:sz w:val="22"/>
          <w:szCs w:val="22"/>
        </w:rPr>
        <w:t>TERMO DE REFERÊNCIA (EM ANEXO)</w:t>
      </w:r>
    </w:p>
    <w:p>
      <w:pPr>
        <w:spacing w:before="0"/>
        <w:rPr>
          <w:bCs/>
          <w:color w:val="000000"/>
          <w:sz w:val="22"/>
          <w:szCs w:val="22"/>
        </w:rPr>
      </w:pPr>
      <w:r>
        <w:rPr>
          <w:bCs/>
          <w:color w:val="000000"/>
          <w:sz w:val="22"/>
          <w:szCs w:val="22"/>
        </w:rPr>
      </w:r>
    </w:p>
    <w:p>
      <w:pPr>
        <w:spacing w:before="0"/>
        <w:rPr>
          <w:b/>
          <w:bCs/>
          <w:color w:val="000000"/>
          <w:sz w:val="22"/>
          <w:szCs w:val="22"/>
        </w:rPr>
      </w:pPr>
      <w:r>
        <w:rPr>
          <w:b/>
          <w:bCs/>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t>ANEXO IX</w:t>
      </w:r>
    </w:p>
    <w:p>
      <w:pPr>
        <w:pStyle w:val="para37"/>
        <w:spacing w:before="0"/>
        <w:widowControl w:val="0"/>
        <w:rPr>
          <w:rFonts w:ascii="Times New Roman" w:hAnsi="Times New Roman" w:eastAsia="Times New Roman"/>
          <w:b/>
          <w:color w:val="000000"/>
        </w:rPr>
      </w:pPr>
      <w:r>
        <w:rPr>
          <w:rFonts w:ascii="Times New Roman" w:hAnsi="Times New Roman" w:eastAsia="Times New Roman"/>
          <w:b/>
          <w:color w:val="000000"/>
        </w:rPr>
        <w:t xml:space="preserve"> ATA DE REGISTRO DE PREÇOS</w:t>
      </w:r>
    </w:p>
    <w:p>
      <w:pPr>
        <w:pStyle w:val="para37"/>
        <w:spacing w:before="0"/>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Processo n</w:t>
      </w:r>
      <w:r>
        <w:rPr>
          <w:rFonts w:ascii="Times New Roman" w:hAnsi="Times New Roman" w:eastAsia="Times New Roman"/>
          <w:b/>
          <w:color w:val="000000"/>
          <w:u w:color="auto" w:val="single"/>
          <w:vertAlign w:val="superscript"/>
        </w:rPr>
        <w:t>o</w:t>
      </w:r>
      <w:r>
        <w:rPr>
          <w:rFonts w:ascii="Times New Roman" w:hAnsi="Times New Roman" w:eastAsia="Times New Roman"/>
          <w:b/>
          <w:color w:val="000000"/>
        </w:rPr>
        <w:t xml:space="preserve">  XXX/2020</w:t>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Pregão n</w:t>
      </w:r>
      <w:r>
        <w:rPr>
          <w:rFonts w:ascii="Times New Roman" w:hAnsi="Times New Roman" w:eastAsia="Times New Roman"/>
          <w:b/>
          <w:color w:val="000000"/>
          <w:u w:color="auto" w:val="single"/>
          <w:vertAlign w:val="superscript"/>
        </w:rPr>
        <w:t>o</w:t>
      </w:r>
      <w:r>
        <w:rPr>
          <w:rFonts w:ascii="Times New Roman" w:hAnsi="Times New Roman" w:eastAsia="Times New Roman"/>
          <w:b/>
          <w:color w:val="000000"/>
        </w:rPr>
        <w:t xml:space="preserve">  03/2020 - SRP</w:t>
      </w:r>
    </w:p>
    <w:p>
      <w:pPr>
        <w:pStyle w:val="para37"/>
        <w:spacing w:before="0"/>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 xml:space="preserve">Pelo presente instrumento, </w:t>
      </w:r>
      <w:r>
        <w:rPr>
          <w:rFonts w:ascii="Times New Roman" w:hAnsi="Times New Roman" w:eastAsia="Times New Roman"/>
          <w:b/>
          <w:color w:val="000000"/>
        </w:rPr>
        <w:t>O MUNICÍPIO DE SÃO DOMINGOS DO NORTE</w:t>
      </w:r>
      <w:r>
        <w:rPr>
          <w:rFonts w:ascii="Times New Roman" w:hAnsi="Times New Roman" w:eastAsia="Times New Roman"/>
          <w:color w:val="000000"/>
        </w:rPr>
        <w:t>, Estado do Espírito Santo, pessoa Jurídica de Direito Público Interno, sediado na Rod. Gether Lopes de Farias, s/nº - São Domingos do Norte - ES, juntamente com o Fundo Municipal de Saúde inscrito no Cadastro Nacional de Pessoa Jurídica sob o N.º 13.953.742/0001-83, neste ato representado pelo PREFEITO MUNICIPAL</w:t>
      </w:r>
      <w:r>
        <w:rPr>
          <w:rFonts w:ascii="Times New Roman" w:hAnsi="Times New Roman" w:eastAsia="Times New Roman"/>
          <w:bCs/>
          <w:color w:val="000000"/>
        </w:rPr>
        <w:t xml:space="preserve">, </w:t>
      </w:r>
      <w:r>
        <w:rPr>
          <w:rFonts w:ascii="Times New Roman" w:hAnsi="Times New Roman" w:eastAsia="Times New Roman"/>
          <w:color w:val="000000"/>
        </w:rPr>
        <w:t>o</w:t>
      </w:r>
      <w:r>
        <w:rPr>
          <w:rFonts w:ascii="Times New Roman" w:hAnsi="Times New Roman" w:eastAsia="Times New Roman"/>
          <w:bCs/>
          <w:color w:val="000000"/>
        </w:rPr>
        <w:t xml:space="preserve"> Sr. xxxxxxxx,</w:t>
      </w:r>
      <w:r>
        <w:rPr>
          <w:rFonts w:ascii="Times New Roman" w:hAnsi="Times New Roman" w:eastAsia="Times New Roman"/>
          <w:color w:val="000000"/>
        </w:rPr>
        <w:t xml:space="preserve"> brasileiro, casado, residente na xxxxxx, Centro, São Domingos do Norte – ES considerando o julgamento da licitação na modalidade de PREGÃO PARA REGISTRO DE PREÇOS, sob nº. xxx/2020, publicada no DIOES do dia XX/XX/2020, bem como, a classificação das propostas, e a respectiva homologação, do processo xxx, RESOLVE registrar os preços da empresa _______________________, nas quantidades estimadas, de acordo com a classificação por elas alcançadas por item, atendendo as condições previstas no Instrumento Convocatório e as constantes desta Ata de Registro de Preços, e regido pela </w:t>
      </w:r>
      <w:r>
        <w:rPr>
          <w:rFonts w:ascii="Times New Roman" w:hAnsi="Times New Roman" w:eastAsia="Times New Roman"/>
        </w:rPr>
        <w:t>Lei n</w:t>
      </w:r>
      <w:r>
        <w:rPr>
          <w:rFonts w:ascii="Times New Roman" w:hAnsi="Times New Roman" w:eastAsia="Times New Roman"/>
          <w:u w:color="auto" w:val="single"/>
          <w:vertAlign w:val="superscript"/>
        </w:rPr>
        <w:t>o</w:t>
      </w:r>
      <w:r>
        <w:rPr>
          <w:rFonts w:ascii="Times New Roman" w:hAnsi="Times New Roman" w:eastAsia="Times New Roman"/>
        </w:rPr>
        <w:t xml:space="preserve"> 10.520, de 17 de julho de 2002, LC 123/2006, Decreto Federal 3555/00, </w:t>
      </w:r>
      <w:r>
        <w:rPr>
          <w:rFonts w:ascii="Times New Roman" w:hAnsi="Times New Roman" w:eastAsia="Times New Roman"/>
          <w:color w:val="000000"/>
        </w:rPr>
        <w:t xml:space="preserve">Decreto Federal </w:t>
      </w:r>
      <w:r>
        <w:rPr>
          <w:rFonts w:ascii="Times New Roman" w:hAnsi="Times New Roman" w:eastAsia="Times New Roman"/>
          <w:color w:val="000000"/>
        </w:rPr>
        <w:t>9.488/2018 e Decreto Municipal 1.663 de 11/06/2019 e subsidiariamente, pela Lei Federal n</w:t>
      </w:r>
      <w:r>
        <w:rPr>
          <w:rFonts w:ascii="Times New Roman" w:hAnsi="Times New Roman" w:eastAsia="Times New Roman"/>
          <w:color w:val="000000"/>
          <w:u w:color="auto" w:val="single"/>
          <w:vertAlign w:val="superscript"/>
        </w:rPr>
        <w:t>o</w:t>
      </w:r>
      <w:r>
        <w:rPr>
          <w:rFonts w:ascii="Times New Roman" w:hAnsi="Times New Roman" w:eastAsia="Times New Roman"/>
          <w:color w:val="000000"/>
        </w:rPr>
        <w:t xml:space="preserve"> 8.666/93, e em conformidade com as disposições a seguir.</w:t>
      </w: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CLÁUSULA PRIMEIRA - DO OBJETO</w:t>
      </w:r>
    </w:p>
    <w:p>
      <w:pPr>
        <w:numPr>
          <w:ilvl w:val="1"/>
          <w:numId w:val="7"/>
        </w:numPr>
        <w:ind w:left="0" w:firstLine="0"/>
        <w:spacing w:before="0"/>
        <w:jc w:val="both"/>
        <w:rPr>
          <w:color w:val="000000"/>
          <w:sz w:val="22"/>
          <w:szCs w:val="22"/>
        </w:rPr>
      </w:pPr>
      <w:r>
        <w:rPr>
          <w:color w:val="000000"/>
          <w:sz w:val="22"/>
          <w:szCs w:val="22"/>
        </w:rPr>
        <w:t>Aquisição de combustíveis para serem usados nos veículos lotados nas diversas Secretarias desta Prefeitura Municipal de São Domingos do Norte. Estes se fazem necessários para atender as necessidades dos funcionários  quanto as dos munícipes,  para o exercício de 2020.</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CLÁUSULA SEGUNDA - DO PREÇO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2.1.</w:t>
      </w:r>
      <w:r>
        <w:rPr>
          <w:rFonts w:ascii="Times New Roman" w:hAnsi="Times New Roman" w:eastAsia="Times New Roman"/>
          <w:color w:val="000000"/>
        </w:rPr>
        <w:t xml:space="preserve"> Os preços a serem pagos coincidem com os requisitos definidos no Anexo I do Edital, e nele estão inclusos todas as espécies de tributos, diretos e indiretos, encargos sociais, seguros, fretes, material, mão-de-obra e quaisquer despesas inerentes à compra.</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 xml:space="preserve">2.2. </w:t>
      </w:r>
      <w:r>
        <w:rPr>
          <w:rFonts w:ascii="Times New Roman" w:hAnsi="Times New Roman" w:eastAsia="Times New Roman"/>
          <w:color w:val="000000"/>
        </w:rPr>
        <w:t>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left"/>
        <w:widowControl w:val="0"/>
        <w:rPr>
          <w:rFonts w:ascii="Times New Roman" w:hAnsi="Times New Roman" w:eastAsia="Times New Roman"/>
          <w:b/>
          <w:color w:val="000000"/>
        </w:rPr>
      </w:pPr>
      <w:r>
        <w:rPr>
          <w:rFonts w:ascii="Times New Roman" w:hAnsi="Times New Roman" w:eastAsia="Times New Roman"/>
          <w:b/>
          <w:color w:val="000000"/>
        </w:rPr>
        <w:t>CLÁUSULA TERCEIRA - DA ALTERAÇÃO DO PREÇO PRATICADO NO MERCADO E DOREEQUILÍBRIO DA EQUAÇÃO ECONÔMICO-FINANCEIRA</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3.1.</w:t>
      </w:r>
      <w:r>
        <w:rPr>
          <w:rFonts w:ascii="Times New Roman" w:hAnsi="Times New Roman" w:eastAsia="Times New Roman"/>
          <w:color w:val="000000"/>
        </w:rPr>
        <w:t xml:space="preserve"> Quando, por motivo superveniente, o preço registrado tornar-se superior ao preço praticado pelo mercado, o órgão gerenciador deverá:</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a)</w:t>
      </w:r>
      <w:r>
        <w:rPr>
          <w:rFonts w:ascii="Times New Roman" w:hAnsi="Times New Roman" w:eastAsia="Times New Roman"/>
          <w:color w:val="000000"/>
        </w:rPr>
        <w:t xml:space="preserve"> Convocar o fornecedor visando a negociação para redução de preços e sua adequação ao praticado pelo mercado;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b)</w:t>
      </w:r>
      <w:r>
        <w:rPr>
          <w:rFonts w:ascii="Times New Roman" w:hAnsi="Times New Roman" w:eastAsia="Times New Roman"/>
          <w:color w:val="000000"/>
        </w:rPr>
        <w:t xml:space="preserve"> Frustrada a negociação, liberar o fornecedor do compromisso assumido;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c)</w:t>
      </w:r>
      <w:r>
        <w:rPr>
          <w:rFonts w:ascii="Times New Roman" w:hAnsi="Times New Roman" w:eastAsia="Times New Roman"/>
          <w:color w:val="000000"/>
        </w:rPr>
        <w:t xml:space="preserve"> Convocar os demais fornecedores para conceder igual oportunidade de negociação.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3.2.</w:t>
      </w:r>
      <w:r>
        <w:rPr>
          <w:rFonts w:ascii="Times New Roman" w:hAnsi="Times New Roman" w:eastAsia="Times New Roman"/>
          <w:color w:val="000000"/>
        </w:rPr>
        <w:t xml:space="preserve"> Quando o preço de mercado tornar-se superior aos preços registrados e o fornecedor, mediante oferta de justificativas comprovadas, não puder cumprir o compromisso, o órgão gerenciador poderá:</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 xml:space="preserve">a) </w:t>
      </w:r>
      <w:r>
        <w:rPr>
          <w:rFonts w:ascii="Times New Roman" w:hAnsi="Times New Roman" w:eastAsia="Times New Roman"/>
          <w:color w:val="000000"/>
        </w:rPr>
        <w:t>Liberar o fornecedor do compromisso assumido, sem aplicação de sanção administrativa, desde que as justificativas sejam motivadamente aceitas e o requerimento ocorra antes da emissão de ordem de fornecimento;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b)</w:t>
      </w:r>
      <w:r>
        <w:rPr>
          <w:rFonts w:ascii="Times New Roman" w:hAnsi="Times New Roman" w:eastAsia="Times New Roman"/>
          <w:color w:val="000000"/>
        </w:rPr>
        <w:t xml:space="preserve"> Convocar os demais fornecedores para conceder igual oportunidade de negociação.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3.3.</w:t>
      </w:r>
      <w:r>
        <w:rPr>
          <w:rFonts w:ascii="Times New Roman" w:hAnsi="Times New Roman" w:eastAsia="Times New Roman"/>
          <w:color w:val="000000"/>
        </w:rPr>
        <w:t xml:space="preserve"> Não logrando êxito nas negociações, o órgão gerenciador deve proceder à revogação da Ata de Registro de Preços e à adoção de medidas cabíveis para obtenção de contratação mais vantajosa. </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3.4.</w:t>
      </w:r>
      <w:r>
        <w:rPr>
          <w:rFonts w:ascii="Times New Roman" w:hAnsi="Times New Roman" w:eastAsia="Times New Roman"/>
          <w:color w:val="000000"/>
        </w:rPr>
        <w:t xml:space="preserve"> Em caso de desequilíbrio da equação econômico-financeira, será adotado o critério de revisão, como forma de restabelecer as condições originalmente pactuadas. </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3.5.</w:t>
      </w:r>
      <w:r>
        <w:rPr>
          <w:rFonts w:ascii="Times New Roman" w:hAnsi="Times New Roman" w:eastAsia="Times New Roman"/>
          <w:color w:val="000000"/>
        </w:rPr>
        <w:t xml:space="preserve"> A revisão poderá ocorrer a qualquer tempo da vigência da Ata, desde que a parte interessada comprove a ocorrência de fato imprevisível, superveniente à formalização da proposta, que importe, diretamente, em majoração ou minoração de seus encargos.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3.5.1.</w:t>
      </w:r>
      <w:r>
        <w:rPr>
          <w:rFonts w:ascii="Times New Roman" w:hAnsi="Times New Roman" w:eastAsia="Times New Roman"/>
          <w:color w:val="000000"/>
        </w:rPr>
        <w:t xml:space="preserve">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3.5.2.</w:t>
      </w:r>
      <w:r>
        <w:rPr>
          <w:rFonts w:ascii="Times New Roman" w:hAnsi="Times New Roman" w:eastAsia="Times New Roman"/>
          <w:color w:val="000000"/>
        </w:rPr>
        <w:t xml:space="preserve">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supere o prazo de um ano.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3.5.3.</w:t>
      </w:r>
      <w:r>
        <w:rPr>
          <w:rFonts w:ascii="Times New Roman" w:hAnsi="Times New Roman" w:eastAsia="Times New Roman"/>
          <w:color w:val="000000"/>
        </w:rPr>
        <w:t xml:space="preserve"> Não será concedida a revisão quando: </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 xml:space="preserve">a) </w:t>
      </w:r>
      <w:r>
        <w:rPr>
          <w:rFonts w:ascii="Times New Roman" w:hAnsi="Times New Roman" w:eastAsia="Times New Roman"/>
          <w:color w:val="000000"/>
        </w:rPr>
        <w:t xml:space="preserve">Ausente à elevação de encargos alegada pela parte interessada; </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b)</w:t>
      </w:r>
      <w:r>
        <w:rPr>
          <w:rFonts w:ascii="Times New Roman" w:hAnsi="Times New Roman" w:eastAsia="Times New Roman"/>
          <w:color w:val="000000"/>
        </w:rPr>
        <w:t xml:space="preserve"> O evento imputado como causa de desequilíbrio houver ocorrido antes da formulação da proposta definitiva ou após a finalização da vigência da Ata;</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c)</w:t>
      </w:r>
      <w:r>
        <w:rPr>
          <w:rFonts w:ascii="Times New Roman" w:hAnsi="Times New Roman" w:eastAsia="Times New Roman"/>
          <w:color w:val="000000"/>
        </w:rPr>
        <w:t xml:space="preserve"> Ausente o nexo de causalidade entre o evento ocorrido e a majoração dos encargos atribuídos à parte interessada;</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d)</w:t>
      </w:r>
      <w:r>
        <w:rPr>
          <w:rFonts w:ascii="Times New Roman" w:hAnsi="Times New Roman" w:eastAsia="Times New Roman"/>
          <w:color w:val="000000"/>
        </w:rPr>
        <w:t xml:space="preserve"> A parte interessada houver incorrido em culpa pela majoração de seus próprios encargos, incluindo-se, nesse âmbito, a previsibilidade da ocorrência do evento.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3.5.4.</w:t>
      </w:r>
      <w:r>
        <w:rPr>
          <w:rFonts w:ascii="Times New Roman" w:hAnsi="Times New Roman" w:eastAsia="Times New Roman"/>
          <w:color w:val="000000"/>
        </w:rPr>
        <w:t xml:space="preserve"> Em todo o caso, a revisão será efetuada por meio de aditamento contratual, precedida de análise pela Secretaria Municipal de Controle Interno e Transparência e Procuradoria Geral do Município, e não poderá exceder o preço praticado no mercado.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bCs/>
          <w:color w:val="000000"/>
        </w:rPr>
        <w:t>3.6.</w:t>
      </w:r>
      <w:r>
        <w:rPr>
          <w:rFonts w:ascii="Times New Roman" w:hAnsi="Times New Roman" w:eastAsia="Times New Roman"/>
          <w:color w:val="000000"/>
        </w:rPr>
        <w:t xml:space="preserve"> Havendo necessidade de reajuste de preço, tanto de elevação como redução, seja proposto através de requerimento da contratada ao Prefeito Municipal, através da secretaria competente, ou por iniciativa da Administração, conforme o caso, com a indicação dos percentuais de alteração, acompanhado de cópias xerográficas autenticadas das notas fiscais de compra que permitam a comprovação e a verificação da compatibilidade dos custos com as alterações pleiteadas, desde que mantida a relação entre o preço da bomba e o da oferta verificado na adjudicação do Pregão Presencial.</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CLÁUSULA QUARTA - DO CANCELAMENTO DO REGISTRO DE PREÇOS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4.1.</w:t>
      </w:r>
      <w:r>
        <w:rPr>
          <w:rFonts w:ascii="Times New Roman" w:hAnsi="Times New Roman" w:eastAsia="Times New Roman"/>
          <w:color w:val="000000"/>
        </w:rPr>
        <w:t xml:space="preserve"> O preço registrado poderá ser cancelado nas seguintes hipóteses: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4.1.1.</w:t>
      </w:r>
      <w:r>
        <w:rPr>
          <w:rFonts w:ascii="Times New Roman" w:hAnsi="Times New Roman" w:eastAsia="Times New Roman"/>
          <w:color w:val="000000"/>
        </w:rPr>
        <w:t xml:space="preserve"> Pela Administração, quando houver comprovado interesse público, ou quando o fornecedor:</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a)</w:t>
      </w:r>
      <w:r>
        <w:rPr>
          <w:rFonts w:ascii="Times New Roman" w:hAnsi="Times New Roman" w:eastAsia="Times New Roman"/>
          <w:color w:val="000000"/>
        </w:rPr>
        <w:t xml:space="preserve"> Não cumprir as exigências da Ata de Registro de Preços;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b)</w:t>
      </w:r>
      <w:r>
        <w:rPr>
          <w:rFonts w:ascii="Times New Roman" w:hAnsi="Times New Roman" w:eastAsia="Times New Roman"/>
          <w:color w:val="000000"/>
        </w:rPr>
        <w:t>Não formalizar contrato decorrente do Registro de Preços ou não retirar o instrumento equivalente no prazo estabelecido, sem justificativa aceitável;</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c)</w:t>
      </w:r>
      <w:r>
        <w:rPr>
          <w:rFonts w:ascii="Times New Roman" w:hAnsi="Times New Roman" w:eastAsia="Times New Roman"/>
          <w:color w:val="000000"/>
        </w:rPr>
        <w:t xml:space="preserve"> Não aceitar reduzir o preço registrado, na hipótese de se tornar este superior aos praticados no mercado;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d)</w:t>
      </w:r>
      <w:r>
        <w:rPr>
          <w:rFonts w:ascii="Times New Roman" w:hAnsi="Times New Roman" w:eastAsia="Times New Roman"/>
          <w:color w:val="000000"/>
        </w:rPr>
        <w:t xml:space="preserve"> Incorrer em inexecução total ou parcial do contrato decorrente do registro de preços;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4.1.2.</w:t>
      </w:r>
      <w:r>
        <w:rPr>
          <w:rFonts w:ascii="Times New Roman" w:hAnsi="Times New Roman" w:eastAsia="Times New Roman"/>
          <w:color w:val="000000"/>
        </w:rPr>
        <w:t xml:space="preserve"> Pelo fornecedor, quando, mediante solicitação formal e expressa, comprovar a impossibilidade, por caso fortuito ou força maior, de dar cumprimento às exigências do instrumento convocatório e da Ata de Registro de Preços.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4.2.</w:t>
      </w:r>
      <w:r>
        <w:rPr>
          <w:rFonts w:ascii="Times New Roman" w:hAnsi="Times New Roman" w:eastAsia="Times New Roman"/>
          <w:color w:val="000000"/>
        </w:rPr>
        <w:t xml:space="preserve"> O cancelamento do registro de preços por parte da Administração, assegurados a ampla defesa e o contraditório, será formalizado por decisão da autoridade competente.</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4.2.1.</w:t>
      </w:r>
      <w:r>
        <w:rPr>
          <w:rFonts w:ascii="Times New Roman" w:hAnsi="Times New Roman" w:eastAsia="Times New Roman"/>
          <w:color w:val="000000"/>
        </w:rPr>
        <w:t xml:space="preserve"> O cancelamento do registro não prejudica a possibilidade de aplicação de sanção administrativa, quando motivada pela ocorrência de infração cometida pelo particular, observados os critérios estabelecidos na cláusula décima primeira deste instrumento.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4.3.</w:t>
      </w:r>
      <w:r>
        <w:rPr>
          <w:rFonts w:ascii="Times New Roman" w:hAnsi="Times New Roman" w:eastAsia="Times New Roman"/>
          <w:color w:val="000000"/>
        </w:rPr>
        <w:t xml:space="preserve"> Da decisão da autoridade competente se dará conhecimento aos fornecedores, mediante o envio de correspondência, com aviso de recebimento.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4.4.</w:t>
      </w:r>
      <w:r>
        <w:rPr>
          <w:rFonts w:ascii="Times New Roman" w:hAnsi="Times New Roman" w:eastAsia="Times New Roman"/>
          <w:color w:val="000000"/>
        </w:rPr>
        <w:t xml:space="preserve"> No caso de ser ignorado, incerto ou inacessível o endereço do fornecedor, a comunicação será efetivada através de publicação na imprensa oficial, considerando-se cancelado o preço registrado, a contar do terceiro dia subsequente ao da publicação.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4.5.</w:t>
      </w:r>
      <w:r>
        <w:rPr>
          <w:rFonts w:ascii="Times New Roman" w:hAnsi="Times New Roman" w:eastAsia="Times New Roman"/>
          <w:color w:val="000000"/>
        </w:rPr>
        <w:t xml:space="preserve"> A solicitação, pelo fornecedor, de cancelamento do preço registrado deverá ser formulada com antecedência mínima de 30 (trinta) dias, instruída com a comprovação dos fatos que justificam o pedido, para apreciação, avaliação e decisão da Administração.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CLÁUSULA QUINTA - DAS CONDIÇÕES DE PAGAMENTO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5.1.</w:t>
      </w:r>
      <w:r>
        <w:rPr>
          <w:rFonts w:ascii="Times New Roman" w:hAnsi="Times New Roman" w:eastAsia="Times New Roman"/>
          <w:color w:val="000000"/>
        </w:rPr>
        <w:t xml:space="preserve"> O prazo para pagamento será de até 15 (quinze) dias contados da ata de protocolização e aceitação pelo Contratante da Nota Fiscal/Fatura correspondente, devidamente atestada pelo Gestor. O pagamento da Nota Fiscal/fatura fica condicionado ao cumprimento dos critérios de recebimento.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5.2.</w:t>
      </w:r>
      <w:r>
        <w:rPr>
          <w:rFonts w:ascii="Times New Roman" w:hAnsi="Times New Roman" w:eastAsia="Times New Roman"/>
          <w:color w:val="000000"/>
        </w:rPr>
        <w:t xml:space="preserve"> O pagamento far-se-á por meio de uma única fatura.</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5.3.</w:t>
      </w:r>
      <w:r>
        <w:rPr>
          <w:rFonts w:ascii="Times New Roman" w:hAnsi="Times New Roman" w:eastAsia="Times New Roman"/>
          <w:color w:val="000000"/>
        </w:rPr>
        <w:t xml:space="preserve"> Incumbirão à Contratada a iniciativa e o encargo do cálculo minucioso da fatura devida a ser reveste e aprovado pela Contratante, juntando-se o cálculo da fatura.</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5.4.</w:t>
      </w:r>
      <w:r>
        <w:rPr>
          <w:rFonts w:ascii="Times New Roman" w:hAnsi="Times New Roman" w:eastAsia="Times New Roman"/>
          <w:color w:val="000000"/>
        </w:rPr>
        <w:t xml:space="preserve"> A liquidação das despesas obedecerá rigorosamente o estabelecido na Lei nº 4.320/64 e alterações posteriores.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5.5.</w:t>
      </w:r>
      <w:r>
        <w:rPr>
          <w:rFonts w:ascii="Times New Roman" w:hAnsi="Times New Roman" w:eastAsia="Times New Roman"/>
          <w:color w:val="000000"/>
        </w:rPr>
        <w:t xml:space="preserve">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5.6.</w:t>
      </w:r>
      <w:r>
        <w:rPr>
          <w:rFonts w:ascii="Times New Roman" w:hAnsi="Times New Roman" w:eastAsia="Times New Roman"/>
          <w:color w:val="000000"/>
        </w:rPr>
        <w:t xml:space="preserve"> A eventual inadimplência de um dos órgãos participantes desta Ata não produzirá efeitos quanto aos demais.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5.7.</w:t>
      </w:r>
      <w:r>
        <w:rPr>
          <w:rFonts w:ascii="Times New Roman" w:hAnsi="Times New Roman" w:eastAsia="Times New Roman"/>
          <w:color w:val="000000"/>
        </w:rPr>
        <w:t xml:space="preserve"> Deverá constar no documento fiscal o número da licitação, o número do pedido de fornecimento, bem como do nome do banco, número da conta corrente e agência bancária da contratada, sem os quais o pagamento ficará retido por falta de informações.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 xml:space="preserve">CLÁUSULA SEXTA - DO PRAZO DE VIGÊNCIA DA ATA </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6.1.</w:t>
      </w:r>
      <w:r>
        <w:rPr>
          <w:rFonts w:ascii="Times New Roman" w:hAnsi="Times New Roman" w:eastAsia="Times New Roman"/>
          <w:color w:val="000000"/>
        </w:rPr>
        <w:t xml:space="preserve"> O prazo de vigência dessa Ata de Registro de Preços é de 01(um) ano, contado do dia posterior à data de sua publicação no Diário Oficial, vedada a sua prorrogação.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6.2.</w:t>
      </w:r>
      <w:r>
        <w:rPr>
          <w:rFonts w:ascii="Times New Roman" w:hAnsi="Times New Roman" w:eastAsia="Times New Roman"/>
          <w:color w:val="000000"/>
        </w:rPr>
        <w:t xml:space="preserve"> O pagamento será efetuado, mediante Termo de Recebimento dos produtos, emitido pela Secretaria requisitante, em até 15 (quinze) dias, após a aceitação e atestados das Notas Fiscais emitidos pelo fiscal da Ata de Registro de Preços.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CLÁUSULA SÉTIMA - DA DOTAÇÃO ORÇAMENTÁRIA</w:t>
      </w:r>
    </w:p>
    <w:p>
      <w:pPr>
        <w:spacing w:before="0"/>
        <w:jc w:val="both"/>
        <w:rPr>
          <w:color w:val="000000"/>
          <w:sz w:val="22"/>
          <w:szCs w:val="22"/>
        </w:rPr>
      </w:pPr>
      <w:r>
        <w:rPr>
          <w:b/>
          <w:color w:val="000000"/>
          <w:sz w:val="22"/>
          <w:szCs w:val="22"/>
        </w:rPr>
        <w:t>7.1</w:t>
      </w:r>
      <w:r>
        <w:rPr>
          <w:color w:val="000000"/>
          <w:sz w:val="22"/>
          <w:szCs w:val="22"/>
        </w:rPr>
        <w:t>. As despesas decorrentes da presente licitação serão pagos com recursos consignados no orçamento municipal.</w:t>
      </w:r>
    </w:p>
    <w:p>
      <w:pPr>
        <w:spacing w:before="0"/>
        <w:jc w:val="both"/>
        <w:rPr>
          <w:b/>
          <w:color w:val="000000"/>
          <w:sz w:val="22"/>
          <w:szCs w:val="22"/>
        </w:rPr>
      </w:pPr>
      <w:r>
        <w:rPr>
          <w:b/>
          <w:color w:val="000000"/>
          <w:sz w:val="22"/>
          <w:szCs w:val="22"/>
        </w:rPr>
        <w:t>Fichas:</w:t>
      </w:r>
    </w:p>
    <w:p>
      <w:pPr>
        <w:spacing w:before="0"/>
        <w:jc w:val="both"/>
        <w:rPr>
          <w:b/>
          <w:color w:val="000000"/>
          <w:sz w:val="22"/>
          <w:szCs w:val="22"/>
        </w:rPr>
      </w:pPr>
      <w:r>
        <w:rPr>
          <w:b/>
          <w:color w:val="000000"/>
          <w:sz w:val="22"/>
          <w:szCs w:val="22"/>
        </w:rPr>
        <w:t>Secretaria Municipal de Educação e Cultura</w:t>
      </w:r>
    </w:p>
    <w:p>
      <w:pPr>
        <w:spacing w:before="0"/>
        <w:jc w:val="both"/>
        <w:rPr>
          <w:color w:val="000000"/>
          <w:sz w:val="22"/>
          <w:szCs w:val="22"/>
        </w:rPr>
      </w:pPr>
      <w:r>
        <w:rPr>
          <w:color w:val="000000"/>
          <w:sz w:val="22"/>
          <w:szCs w:val="22"/>
        </w:rPr>
        <w:t>93 - 1001, 149 - 1111, 233 - 1001.</w:t>
      </w:r>
    </w:p>
    <w:p>
      <w:pPr>
        <w:spacing w:before="0"/>
        <w:jc w:val="both"/>
        <w:rPr>
          <w:b/>
          <w:color w:val="000000"/>
          <w:sz w:val="22"/>
          <w:szCs w:val="22"/>
        </w:rPr>
      </w:pPr>
      <w:r>
        <w:rPr>
          <w:b/>
          <w:color w:val="000000"/>
          <w:sz w:val="22"/>
          <w:szCs w:val="22"/>
        </w:rPr>
        <w:t>Secretaria Municipal de obras e Serviços Urbanos</w:t>
      </w:r>
    </w:p>
    <w:p>
      <w:pPr>
        <w:spacing w:before="0"/>
        <w:jc w:val="both"/>
        <w:rPr>
          <w:color w:val="000000"/>
          <w:sz w:val="22"/>
          <w:szCs w:val="22"/>
        </w:rPr>
      </w:pPr>
      <w:r>
        <w:rPr>
          <w:color w:val="000000"/>
          <w:sz w:val="22"/>
          <w:szCs w:val="22"/>
        </w:rPr>
        <w:t>382 - 1001, 411 - 1001, 420 - 1001.</w:t>
      </w:r>
    </w:p>
    <w:p>
      <w:pPr>
        <w:spacing w:before="0"/>
        <w:jc w:val="both"/>
        <w:rPr>
          <w:b/>
          <w:color w:val="000000"/>
          <w:sz w:val="22"/>
          <w:szCs w:val="22"/>
        </w:rPr>
      </w:pPr>
      <w:r>
        <w:rPr>
          <w:b/>
          <w:color w:val="000000"/>
          <w:sz w:val="22"/>
          <w:szCs w:val="22"/>
        </w:rPr>
        <w:t>Gabinete do Prefeito</w:t>
      </w:r>
    </w:p>
    <w:p>
      <w:pPr>
        <w:spacing w:before="0"/>
        <w:jc w:val="both"/>
        <w:rPr>
          <w:color w:val="000000"/>
          <w:sz w:val="22"/>
          <w:szCs w:val="22"/>
        </w:rPr>
      </w:pPr>
      <w:r>
        <w:rPr>
          <w:color w:val="000000"/>
          <w:sz w:val="22"/>
          <w:szCs w:val="22"/>
        </w:rPr>
        <w:t>04 – 1001.</w:t>
      </w:r>
    </w:p>
    <w:p>
      <w:pPr>
        <w:spacing w:before="0"/>
        <w:jc w:val="both"/>
        <w:rPr>
          <w:b/>
          <w:color w:val="000000"/>
          <w:sz w:val="22"/>
          <w:szCs w:val="22"/>
        </w:rPr>
      </w:pPr>
      <w:r>
        <w:rPr>
          <w:b/>
          <w:color w:val="000000"/>
          <w:sz w:val="22"/>
          <w:szCs w:val="22"/>
        </w:rPr>
        <w:t>Secretaria Municipal de Agricultura</w:t>
      </w:r>
    </w:p>
    <w:p>
      <w:pPr>
        <w:spacing w:before="0"/>
        <w:jc w:val="both"/>
        <w:rPr>
          <w:color w:val="000000"/>
          <w:sz w:val="22"/>
          <w:szCs w:val="22"/>
        </w:rPr>
      </w:pPr>
      <w:r>
        <w:rPr>
          <w:color w:val="000000"/>
          <w:sz w:val="22"/>
          <w:szCs w:val="22"/>
        </w:rPr>
        <w:t>452 - 1001, 460 - 1001, 477 - 1001, 487 - 1001.</w:t>
      </w:r>
    </w:p>
    <w:p>
      <w:pPr>
        <w:spacing w:before="0"/>
        <w:jc w:val="both"/>
        <w:rPr>
          <w:b/>
          <w:color w:val="000000"/>
          <w:sz w:val="22"/>
          <w:szCs w:val="22"/>
        </w:rPr>
      </w:pPr>
      <w:r>
        <w:rPr>
          <w:b/>
          <w:color w:val="000000"/>
          <w:sz w:val="22"/>
          <w:szCs w:val="22"/>
        </w:rPr>
        <w:t>Secretaria Municipal de Meio Ambiente</w:t>
      </w:r>
    </w:p>
    <w:p>
      <w:pPr>
        <w:spacing w:before="0"/>
        <w:jc w:val="both"/>
        <w:rPr>
          <w:color w:val="000000"/>
          <w:sz w:val="22"/>
          <w:szCs w:val="22"/>
        </w:rPr>
      </w:pPr>
      <w:r>
        <w:rPr>
          <w:color w:val="000000"/>
          <w:sz w:val="22"/>
          <w:szCs w:val="22"/>
        </w:rPr>
        <w:t>498 – 1001.</w:t>
      </w:r>
    </w:p>
    <w:p>
      <w:pPr>
        <w:spacing w:before="0"/>
        <w:jc w:val="both"/>
        <w:rPr>
          <w:b/>
          <w:color w:val="000000"/>
          <w:sz w:val="22"/>
          <w:szCs w:val="22"/>
        </w:rPr>
      </w:pPr>
      <w:r>
        <w:rPr>
          <w:b/>
          <w:color w:val="000000"/>
          <w:sz w:val="22"/>
          <w:szCs w:val="22"/>
        </w:rPr>
        <w:t>Secretaria Municipal Trabalho Assistência e Desenvolvimento Social</w:t>
      </w:r>
    </w:p>
    <w:p>
      <w:pPr>
        <w:spacing w:before="0"/>
        <w:jc w:val="both"/>
        <w:rPr>
          <w:color w:val="000000"/>
          <w:sz w:val="22"/>
          <w:szCs w:val="22"/>
        </w:rPr>
      </w:pPr>
      <w:r>
        <w:rPr>
          <w:color w:val="000000"/>
          <w:sz w:val="22"/>
          <w:szCs w:val="22"/>
        </w:rPr>
        <w:t>343 - 1311, 361 - 1001, 373 - 1001, 332 - 1390.</w:t>
      </w:r>
    </w:p>
    <w:p>
      <w:pPr>
        <w:spacing w:before="0"/>
        <w:jc w:val="both"/>
        <w:rPr>
          <w:color w:val="000000"/>
          <w:sz w:val="22"/>
          <w:szCs w:val="22"/>
        </w:rPr>
      </w:pPr>
      <w:r>
        <w:rPr>
          <w:color w:val="000000"/>
          <w:sz w:val="22"/>
          <w:szCs w:val="22"/>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CLÁUSULA OITAVA - DA CONVOCAÇÃO PARA RECEBER A ORDEM DE FORNECIMENTO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8.1</w:t>
      </w:r>
      <w:r>
        <w:rPr>
          <w:rFonts w:ascii="Times New Roman" w:hAnsi="Times New Roman" w:eastAsia="Times New Roman"/>
          <w:color w:val="000000"/>
        </w:rPr>
        <w:t xml:space="preserve">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CLÁUSULA NONA - DA ENTREGA E ABASTECIMENTO DO MATERIAL DE CONSUMO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9.1.</w:t>
      </w:r>
      <w:r>
        <w:rPr>
          <w:rFonts w:ascii="Times New Roman" w:hAnsi="Times New Roman" w:eastAsia="Times New Roman"/>
          <w:color w:val="000000"/>
        </w:rPr>
        <w:t xml:space="preserve"> O abastecimento será continuo e fracionado de acordo com as necessidades da PMSDN/ES. Em postos pertencentes a contratada ou por ela credenciada de acordo com a distância estabelecida na alínea” b” deste item.</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b) A contratada se obrigará a manter o posto de abastecimentos credenciado no município, cujo o endereço consta do preâmbulo do presente Edital;</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c) A Contratada se obrigará a realizar o abastecimento com os combustíveis em quantidade solicitadas, após a requisição emitida. A contratada deverá estar apta a fornecer o produto imediatamente após assinatura do contrato.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d) O prazo para pagamento será de até 15 (quinze) dias contados da ata de protocolização e aceitação pelo Contratante da Nota Fiscal/Fatura correspondente, devidamente atestada pelo Gestor do Contrato. O pagamento da Nota Fiscal/fatura fica condicionado ao cumprimento dos critérios de recebimento.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 xml:space="preserve"> e) Para habilitar-se ao pagamento a contratada deverá protocolar na PMSDN/ES Nota Fiscal, até o 5º (quinto) dia do mês subsequente ao mês de referência, especificando o abastecimento e seus correspondentes valores em moeda corrente nacional, devendo estar formalmente atestado pelo gestor do contrato.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 xml:space="preserve">9.2. </w:t>
      </w:r>
      <w:r>
        <w:rPr>
          <w:rFonts w:ascii="Times New Roman" w:hAnsi="Times New Roman" w:eastAsia="Times New Roman"/>
          <w:color w:val="000000"/>
        </w:rPr>
        <w:t>A validade dos produtos adquiridos respeitará o descrito no Anexo I.</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9.3.</w:t>
      </w:r>
      <w:r>
        <w:rPr>
          <w:rFonts w:ascii="Times New Roman" w:hAnsi="Times New Roman" w:eastAsia="Times New Roman"/>
          <w:color w:val="000000"/>
        </w:rPr>
        <w:t xml:space="preserve"> Constatadas irregularidades no objeto contratada, a contratante poderá:</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a)</w:t>
      </w:r>
      <w:r>
        <w:rPr>
          <w:rFonts w:ascii="Times New Roman" w:hAnsi="Times New Roman" w:eastAsia="Times New Roman"/>
          <w:color w:val="000000"/>
        </w:rPr>
        <w:t xml:space="preserve"> Se disser respeito à especificação, rejeitá-lo, determinando sua substituição ou rescindindo a contratação, sem prejuízo das penalidades cabíveis;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b)</w:t>
      </w:r>
      <w:r>
        <w:rPr>
          <w:rFonts w:ascii="Times New Roman" w:hAnsi="Times New Roman" w:eastAsia="Times New Roman"/>
          <w:color w:val="000000"/>
        </w:rPr>
        <w:t xml:space="preserve">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c)</w:t>
      </w:r>
      <w:r>
        <w:rPr>
          <w:rFonts w:ascii="Times New Roman" w:hAnsi="Times New Roman" w:eastAsia="Times New Roman"/>
          <w:color w:val="000000"/>
        </w:rPr>
        <w:t xml:space="preserve">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CLÁUSULA DÉCIMA - DA RESPONSABILIDADE DAS PARTES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10.1.</w:t>
      </w:r>
      <w:r>
        <w:rPr>
          <w:rFonts w:ascii="Times New Roman" w:hAnsi="Times New Roman" w:eastAsia="Times New Roman"/>
          <w:color w:val="000000"/>
        </w:rPr>
        <w:t xml:space="preserve"> Compete à Contratada:</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a)</w:t>
      </w:r>
      <w:r>
        <w:rPr>
          <w:rFonts w:ascii="Times New Roman" w:hAnsi="Times New Roman" w:eastAsia="Times New Roman"/>
          <w:color w:val="000000"/>
        </w:rPr>
        <w:t xml:space="preserve"> Entregar os produtos de acordo com as condições e prazos propostos respeitando-se o período de validade;</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 xml:space="preserve">b) </w:t>
      </w:r>
      <w:r>
        <w:rPr>
          <w:rFonts w:ascii="Times New Roman" w:hAnsi="Times New Roman" w:eastAsia="Times New Roman"/>
          <w:color w:val="000000"/>
        </w:rPr>
        <w:t>Providenciar a imediata correção das deficiências apontadas pelo setor competente do Contratante;</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 xml:space="preserve">c) </w:t>
      </w:r>
      <w:r>
        <w:rPr>
          <w:rFonts w:ascii="Times New Roman" w:hAnsi="Times New Roman" w:eastAsia="Times New Roman"/>
          <w:color w:val="000000"/>
        </w:rPr>
        <w:t>Manter, durante toda a execução do Contrato, em compatibilidade com as obrigações assumidas, todas as condições de habilitação e qualificação exigidas na licitação, conforme dispõe o inciso XIII, do artigo 55, da Lei Nº 8.666/93 e alterações;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10.2</w:t>
      </w:r>
      <w:r>
        <w:rPr>
          <w:rFonts w:ascii="Times New Roman" w:hAnsi="Times New Roman" w:eastAsia="Times New Roman"/>
          <w:color w:val="000000"/>
        </w:rPr>
        <w:t>. Compete à Contratante:</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a)</w:t>
      </w:r>
      <w:r>
        <w:rPr>
          <w:rFonts w:ascii="Times New Roman" w:hAnsi="Times New Roman" w:eastAsia="Times New Roman"/>
          <w:color w:val="000000"/>
        </w:rPr>
        <w:t xml:space="preserve"> Efetuar o pagamento do preço previsto na cláusula segunda, nos termos deste instrumento;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b)</w:t>
      </w:r>
      <w:r>
        <w:rPr>
          <w:rFonts w:ascii="Times New Roman" w:hAnsi="Times New Roman" w:eastAsia="Times New Roman"/>
          <w:color w:val="000000"/>
        </w:rPr>
        <w:t xml:space="preserve"> Definir o local para entrega dos materiais adquiridos;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 xml:space="preserve">c) </w:t>
      </w:r>
      <w:r>
        <w:rPr>
          <w:rFonts w:ascii="Times New Roman" w:hAnsi="Times New Roman" w:eastAsia="Times New Roman"/>
          <w:color w:val="000000"/>
        </w:rPr>
        <w:t>Designar servidor (ou comissão de, no mínimo, 3 três membros, na hipótese do parágrafo 8º do art. 15 da Lei nº 8.666/93) responsável pelo acompanhamento e fiscalização na entrega dos produtos adquiridos.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d) Aplicar-se-á no que couber o art. 65 da Lei 8.666/93.</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CLÁUSULA DÉCIMA PRIMEIRA - DAS SANÇÕES ADMINISTRATIVAS</w:t>
      </w:r>
    </w:p>
    <w:p>
      <w:pPr>
        <w:spacing w:before="0"/>
        <w:jc w:val="both"/>
        <w:rPr>
          <w:b/>
          <w:color w:val="000000"/>
          <w:sz w:val="22"/>
          <w:szCs w:val="22"/>
        </w:rPr>
      </w:pPr>
      <w:r>
        <w:rPr>
          <w:b/>
          <w:color w:val="000000"/>
          <w:sz w:val="22"/>
          <w:szCs w:val="22"/>
        </w:rPr>
        <w:t>11.1.</w:t>
      </w:r>
      <w:r>
        <w:rPr>
          <w:color w:val="000000"/>
          <w:sz w:val="22"/>
          <w:szCs w:val="22"/>
        </w:rPr>
        <w:t xml:space="preserve"> Em caso de atraso na execução/entrega do objeto contratado, multa de 0,3% (três centésimos por cento) por dia de atraso, até o limite de 20% (vinte por cento) sobre o valor total do contrato.</w:t>
      </w:r>
      <w:r>
        <w:rPr>
          <w:b/>
          <w:color w:val="000000"/>
          <w:sz w:val="22"/>
          <w:szCs w:val="22"/>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11.2.</w:t>
      </w:r>
      <w:r>
        <w:rPr>
          <w:rFonts w:ascii="Times New Roman" w:hAnsi="Times New Roman" w:eastAsia="Times New Roman"/>
          <w:color w:val="000000"/>
        </w:rPr>
        <w:t xml:space="preserve"> Sem prejuízo das sanções cominadas no item 11.3 desta Ata, no descumprimento de quaisquer obrigações licitatórias/contratuais, a administração municipal poderá garantida a prévia e ampla defesa, aplicar multa de 10% (dez por cento) sobre o valor total cotado pela licitante/contratada.</w:t>
      </w:r>
    </w:p>
    <w:p>
      <w:pPr>
        <w:spacing w:before="0"/>
        <w:jc w:val="both"/>
        <w:rPr>
          <w:color w:val="000000"/>
          <w:sz w:val="22"/>
          <w:szCs w:val="22"/>
        </w:rPr>
      </w:pPr>
      <w:r>
        <w:rPr>
          <w:b/>
          <w:color w:val="000000"/>
          <w:sz w:val="22"/>
          <w:szCs w:val="22"/>
        </w:rPr>
        <w:t>11.3.</w:t>
      </w:r>
      <w:r>
        <w:rPr>
          <w:color w:val="000000"/>
          <w:sz w:val="22"/>
          <w:szCs w:val="22"/>
        </w:rPr>
        <w:t xml:space="preserve"> A licitante/contratada sujeita-se ainda as seguinte penalidades:</w:t>
      </w:r>
    </w:p>
    <w:p>
      <w:pPr>
        <w:pStyle w:val="para37"/>
        <w:spacing w:before="0"/>
        <w:jc w:val="both"/>
        <w:widowControl w:val="0"/>
        <w:tabs defTabSz="709">
          <w:tab w:val="left" w:pos="567" w:leader="none"/>
        </w:tabs>
        <w:rPr>
          <w:rFonts w:ascii="Times New Roman" w:hAnsi="Times New Roman" w:eastAsia="Times New Roman"/>
          <w:color w:val="000000"/>
        </w:rPr>
      </w:pPr>
      <w:r>
        <w:rPr>
          <w:rFonts w:ascii="Times New Roman" w:hAnsi="Times New Roman" w:eastAsia="Times New Roman"/>
          <w:b/>
          <w:color w:val="000000"/>
        </w:rPr>
        <w:t>a)</w:t>
      </w:r>
      <w:r>
        <w:rPr>
          <w:rFonts w:ascii="Times New Roman" w:hAnsi="Times New Roman" w:eastAsia="Times New Roman"/>
          <w:color w:val="000000"/>
        </w:rPr>
        <w:t xml:space="preserve"> Advertência;</w:t>
      </w:r>
    </w:p>
    <w:p>
      <w:pPr>
        <w:pStyle w:val="para37"/>
        <w:spacing w:before="0"/>
        <w:jc w:val="both"/>
        <w:widowControl w:val="0"/>
        <w:tabs defTabSz="709">
          <w:tab w:val="left" w:pos="567" w:leader="none"/>
        </w:tabs>
        <w:rPr>
          <w:rFonts w:ascii="Times New Roman" w:hAnsi="Times New Roman" w:eastAsia="Times New Roman"/>
          <w:color w:val="000000"/>
        </w:rPr>
      </w:pPr>
      <w:r>
        <w:rPr>
          <w:rFonts w:ascii="Times New Roman" w:hAnsi="Times New Roman" w:eastAsia="Times New Roman"/>
          <w:b/>
          <w:color w:val="000000"/>
        </w:rPr>
        <w:t>b)</w:t>
      </w:r>
      <w:r>
        <w:rPr>
          <w:rFonts w:ascii="Times New Roman" w:hAnsi="Times New Roman" w:eastAsia="Times New Roman"/>
          <w:color w:val="000000"/>
        </w:rPr>
        <w:t xml:space="preserve"> Suspensão temporária de participar de licitações e impedimento de contratar com a administração municipal, por prazo de até 2 (dois) anos, e,</w:t>
      </w:r>
    </w:p>
    <w:p>
      <w:pPr>
        <w:pStyle w:val="para37"/>
        <w:spacing w:before="0"/>
        <w:jc w:val="both"/>
        <w:widowControl w:val="0"/>
        <w:tabs defTabSz="709">
          <w:tab w:val="left" w:pos="567" w:leader="none"/>
        </w:tabs>
        <w:rPr>
          <w:rFonts w:ascii="Times New Roman" w:hAnsi="Times New Roman" w:eastAsia="Times New Roman"/>
          <w:color w:val="000000"/>
        </w:rPr>
      </w:pPr>
      <w:r>
        <w:rPr>
          <w:rFonts w:ascii="Times New Roman" w:hAnsi="Times New Roman" w:eastAsia="Times New Roman"/>
          <w:b/>
          <w:color w:val="000000"/>
        </w:rPr>
        <w:t>c)</w:t>
      </w:r>
      <w:r>
        <w:rPr>
          <w:rFonts w:ascii="Times New Roman" w:hAnsi="Times New Roman" w:eastAsia="Times New Roman"/>
          <w:color w:val="000000"/>
        </w:rPr>
        <w:t xml:space="preserve">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na forma da lei.</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11.4</w:t>
      </w:r>
      <w:r>
        <w:rPr>
          <w:rFonts w:ascii="Times New Roman" w:hAnsi="Times New Roman" w:eastAsia="Times New Roman"/>
          <w:color w:val="000000"/>
        </w:rPr>
        <w:t xml:space="preserve">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11.5</w:t>
      </w:r>
      <w:r>
        <w:rPr>
          <w:rFonts w:ascii="Times New Roman" w:hAnsi="Times New Roman" w:eastAsia="Times New Roman"/>
          <w:color w:val="000000"/>
        </w:rPr>
        <w:t xml:space="preserve">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11.6</w:t>
      </w:r>
      <w:r>
        <w:rPr>
          <w:rFonts w:ascii="Times New Roman" w:hAnsi="Times New Roman" w:eastAsia="Times New Roman"/>
          <w:color w:val="000000"/>
        </w:rPr>
        <w:t xml:space="preserve"> A falsidade de declaração prestada, em qualquer das declarações exigidas neste Edital, caracterizará o crime de que trata o art. 299 do código penal, além da sanção prevista no item 21.3.3 deste Edital.</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11.7.</w:t>
      </w:r>
      <w:r>
        <w:rPr>
          <w:rFonts w:ascii="Times New Roman" w:hAnsi="Times New Roman" w:eastAsia="Times New Roman"/>
          <w:color w:val="000000"/>
        </w:rPr>
        <w:t xml:space="preserve"> A aplicação da multa de mora não impede que a Administração rescinda unilateralmente o contrato e aplique as outras sanções previstas no item 11.3 desta Ata e na Lei Federal nº. 8.666/93;</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11.8</w:t>
      </w:r>
      <w:r>
        <w:rPr>
          <w:rFonts w:ascii="Times New Roman" w:hAnsi="Times New Roman" w:eastAsia="Times New Roman"/>
          <w:color w:val="000000"/>
        </w:rPr>
        <w:t xml:space="preserve"> As sanções previstas nas alíneas “a”, “b” e “c” do item 11.3, não são cumulativas entre si, mas poderão ser aplicadas juntamente com a multa compensatória por perdas e danos.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11.9</w:t>
      </w:r>
      <w:r>
        <w:rPr>
          <w:rFonts w:ascii="Times New Roman" w:hAnsi="Times New Roman" w:eastAsia="Times New Roman"/>
          <w:color w:val="000000"/>
        </w:rPr>
        <w:t>. As sanções administrativas somente serão aplicadas mediante regular processo administrativo, assegurada a ampla defesa e o contraditório, observando-se as seguintes regras: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11.9.1</w:t>
      </w:r>
      <w:r>
        <w:rPr>
          <w:rFonts w:ascii="Times New Roman" w:hAnsi="Times New Roman" w:eastAsia="Times New Roman"/>
          <w:color w:val="000000"/>
        </w:rPr>
        <w:t>. Antes da aplicação de qualquer sanção administrativa, deverá notificar o licitante contratado, facultando-lhe a apresentação de defesa prévia;</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11.9.2.</w:t>
      </w:r>
      <w:r>
        <w:rPr>
          <w:rFonts w:ascii="Times New Roman" w:hAnsi="Times New Roman" w:eastAsia="Times New Roman"/>
          <w:color w:val="000000"/>
        </w:rPr>
        <w:t xml:space="preserve">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11.9.3.</w:t>
      </w:r>
      <w:r>
        <w:rPr>
          <w:rFonts w:ascii="Times New Roman" w:hAnsi="Times New Roman" w:eastAsia="Times New Roman"/>
          <w:color w:val="000000"/>
        </w:rPr>
        <w:t xml:space="preserve">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11.10.</w:t>
      </w:r>
      <w:r>
        <w:rPr>
          <w:rFonts w:ascii="Times New Roman" w:hAnsi="Times New Roman" w:eastAsia="Times New Roman"/>
          <w:color w:val="000000"/>
        </w:rPr>
        <w:t xml:space="preserve"> O licitante contratado comunicará as mudanças de endereço ocorridas no curso do processo licitatório e da vigência do contrato, considerando-se eficazes as notificações enviadas ao local anteriormente indicado, na ausência da comunicação.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11.11.</w:t>
      </w:r>
      <w:r>
        <w:rPr>
          <w:rFonts w:ascii="Times New Roman" w:hAnsi="Times New Roman" w:eastAsia="Times New Roman"/>
          <w:color w:val="000000"/>
        </w:rPr>
        <w:t xml:space="preserve"> 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 xml:space="preserve">11.12. </w:t>
      </w:r>
      <w:r>
        <w:rPr>
          <w:rFonts w:ascii="Times New Roman" w:hAnsi="Times New Roman" w:eastAsia="Times New Roman"/>
          <w:color w:val="000000"/>
        </w:rPr>
        <w:t>O recurso administrativo a que se refere a alínea anterior será submetido à análise da Procuradoria Geral do Município.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 xml:space="preserve">11.13. </w:t>
      </w:r>
      <w:r>
        <w:rPr>
          <w:rFonts w:ascii="Times New Roman" w:hAnsi="Times New Roman" w:eastAsia="Times New Roman"/>
          <w:color w:val="000000"/>
        </w:rPr>
        <w:t>Os montantes relativos às multas moratória e compensatória aplicadas pela Administração poderão ser cobrados judicialmente ou descontados dos valores devidos ao licitante contratado, relativos às parcelas efetivamente executadas do contrato.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11.14.</w:t>
      </w:r>
      <w:r>
        <w:rPr>
          <w:rFonts w:ascii="Times New Roman" w:hAnsi="Times New Roman" w:eastAsia="Times New Roman"/>
          <w:color w:val="000000"/>
        </w:rPr>
        <w:t xml:space="preserve"> Em qualquer caso, se após o desconto dos valores relativos às multas restar valor residual em desfavor do licitante contratado, é obrigatória a cobrança judicial da diferença.</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CLÁUSULA DÉCIMA SEGUNDA - DA RESCISÃO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12.1.</w:t>
      </w:r>
      <w:r>
        <w:rPr>
          <w:rFonts w:ascii="Times New Roman" w:hAnsi="Times New Roman" w:eastAsia="Times New Roman"/>
          <w:color w:val="000000"/>
        </w:rPr>
        <w:t xml:space="preserve"> A rescisão da Ata poderá ocorrer nas hipóteses e condições previstas nos artigos 78 e 79 da Lei nº 8.666/93, no que couberem, com aplicação do art. 80 da mesma Lei, se for o caso.</w:t>
      </w:r>
    </w:p>
    <w:p>
      <w:pPr>
        <w:pStyle w:val="para41"/>
        <w:ind w:left="0"/>
        <w:spacing w:before="0"/>
        <w:jc w:val="both"/>
        <w:rPr>
          <w:color w:val="000000"/>
          <w:sz w:val="22"/>
          <w:szCs w:val="22"/>
        </w:rPr>
      </w:pPr>
      <w:r>
        <w:rPr>
          <w:color w:val="000000"/>
          <w:sz w:val="22"/>
          <w:szCs w:val="22"/>
        </w:rPr>
        <w:t>12.2. Aplicar-se-á à contratação, no que couber no art. 80 da Lei 8.666/93.</w:t>
      </w:r>
    </w:p>
    <w:p>
      <w:pPr>
        <w:pStyle w:val="para41"/>
        <w:ind w:left="0"/>
        <w:spacing w:before="0"/>
        <w:jc w:val="both"/>
        <w:rPr>
          <w:color w:val="000000"/>
          <w:sz w:val="22"/>
          <w:szCs w:val="22"/>
        </w:rPr>
      </w:pPr>
      <w:r>
        <w:rPr>
          <w:color w:val="000000"/>
          <w:sz w:val="22"/>
          <w:szCs w:val="22"/>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CLÁUSULA DÉCIMA TERCEIRA - DOS ADITAMENTOS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13.1.</w:t>
      </w:r>
      <w:r>
        <w:rPr>
          <w:rFonts w:ascii="Times New Roman" w:hAnsi="Times New Roman" w:eastAsia="Times New Roman"/>
          <w:color w:val="000000"/>
        </w:rPr>
        <w:t xml:space="preserve"> A presente Ata poderá ser aditada, estritamente, nos termos previstos na Lei n</w:t>
      </w:r>
      <w:r>
        <w:rPr>
          <w:rFonts w:ascii="Times New Roman" w:hAnsi="Times New Roman" w:eastAsia="Times New Roman"/>
          <w:color w:val="000000"/>
          <w:u w:color="auto" w:val="single"/>
          <w:vertAlign w:val="superscript"/>
        </w:rPr>
        <w:t>o</w:t>
      </w:r>
      <w:r>
        <w:rPr>
          <w:rFonts w:ascii="Times New Roman" w:hAnsi="Times New Roman" w:eastAsia="Times New Roman"/>
          <w:color w:val="000000"/>
        </w:rPr>
        <w:t xml:space="preserve"> 8.666/93, após manifestação formal da Procuradoria Geral do Município.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CLÁUSULA DÉCIMA QUARTA - DOS RECURSOS ADMINISTRATIVOS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14.1.</w:t>
      </w:r>
      <w:r>
        <w:rPr>
          <w:rFonts w:ascii="Times New Roman" w:hAnsi="Times New Roman" w:eastAsia="Times New Roman"/>
          <w:color w:val="000000"/>
        </w:rPr>
        <w:t xml:space="preserve"> Os recursos, representação e pedido de reconsideração, somente serão acolhidos nos termos do art. 109, da Lei n</w:t>
      </w:r>
      <w:r>
        <w:rPr>
          <w:rFonts w:ascii="Times New Roman" w:hAnsi="Times New Roman" w:eastAsia="Times New Roman"/>
          <w:color w:val="000000"/>
          <w:u w:color="auto" w:val="single"/>
          <w:vertAlign w:val="superscript"/>
        </w:rPr>
        <w:t>o</w:t>
      </w:r>
      <w:r>
        <w:rPr>
          <w:rFonts w:ascii="Times New Roman" w:hAnsi="Times New Roman" w:eastAsia="Times New Roman"/>
          <w:color w:val="000000"/>
        </w:rPr>
        <w:t xml:space="preserve"> 8.666/93 e alterações posteriores.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CLÁUSULA DÉCIMA QUINTA - DO ACOMPANHAMENTO E DA FISCALIZAÇÃO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15.1.</w:t>
      </w:r>
      <w:r>
        <w:rPr>
          <w:rFonts w:ascii="Times New Roman" w:hAnsi="Times New Roman" w:eastAsia="Times New Roman"/>
          <w:color w:val="000000"/>
        </w:rPr>
        <w:t xml:space="preserve"> A execução do contrato será acompanhada pelo </w:t>
      </w:r>
      <w:r>
        <w:rPr>
          <w:rFonts w:ascii="Times New Roman" w:hAnsi="Times New Roman" w:eastAsia="Times New Roman"/>
          <w:b/>
          <w:color w:val="000000"/>
        </w:rPr>
        <w:t>servidor Marcos Paulo Schifler</w:t>
      </w:r>
      <w:r>
        <w:rPr>
          <w:rFonts w:ascii="Times New Roman" w:hAnsi="Times New Roman" w:eastAsia="Times New Roman"/>
          <w:color w:val="000000"/>
        </w:rPr>
        <w:t xml:space="preserve"> designado representante da Administração nos termos do art. 67 da Lei nº 8.666/93, que deverá atestar à execução do objeto contratado, observadas as disposições deste Contrato, sem o que não será permitido qualquer pagamento.</w:t>
      </w:r>
    </w:p>
    <w:p>
      <w:pPr>
        <w:pStyle w:val="para37"/>
        <w:spacing w:before="0"/>
        <w:jc w:val="both"/>
        <w:rPr>
          <w:rFonts w:ascii="Times New Roman" w:hAnsi="Times New Roman" w:eastAsia="Times New Roman"/>
          <w:color w:val="000000"/>
        </w:rPr>
      </w:pPr>
      <w:r>
        <w:rPr>
          <w:rFonts w:ascii="Times New Roman" w:hAnsi="Times New Roman" w:eastAsia="Times New Roman"/>
          <w:b/>
          <w:color w:val="000000"/>
        </w:rPr>
        <w:t>15.2.</w:t>
      </w:r>
      <w:r>
        <w:rPr>
          <w:rFonts w:ascii="Times New Roman" w:hAnsi="Times New Roman" w:eastAsia="Times New Roman"/>
          <w:color w:val="000000"/>
        </w:rPr>
        <w:t xml:space="preserve"> Quando necessário, serão efetuados testes por amostragem para avaliação dos produtos, utilizando uma quantidade entre 1 e 10% de cada item do empenho, escolhidos aleatoriamente.</w:t>
      </w:r>
    </w:p>
    <w:p>
      <w:pPr>
        <w:pStyle w:val="para37"/>
        <w:spacing w:before="0"/>
        <w:jc w:val="both"/>
        <w:rPr>
          <w:rFonts w:ascii="Times New Roman" w:hAnsi="Times New Roman" w:eastAsia="Times New Roman"/>
          <w:color w:val="000000"/>
        </w:rPr>
      </w:pPr>
      <w:r>
        <w:rPr>
          <w:rFonts w:ascii="Times New Roman" w:hAnsi="Times New Roman" w:eastAsia="Times New Roman"/>
          <w:b/>
          <w:color w:val="000000"/>
        </w:rPr>
        <w:t>15.3.</w:t>
      </w:r>
      <w:r>
        <w:rPr>
          <w:rFonts w:ascii="Times New Roman" w:hAnsi="Times New Roman" w:eastAsia="Times New Roman"/>
          <w:color w:val="000000"/>
        </w:rPr>
        <w:t xml:space="preserve"> Um representante da Adjudicada poderá ser convocado a esta PM para acompanhar o recebimento do material, caso seja necessário. Em caso de não comparecimento do mesmo, os testes serão efetuados pela fiscalização na presença de testemunhas, quando necessário.</w:t>
      </w:r>
    </w:p>
    <w:p>
      <w:pPr>
        <w:pStyle w:val="para37"/>
        <w:spacing w:before="0"/>
        <w:jc w:val="both"/>
        <w:rPr>
          <w:rFonts w:ascii="Times New Roman" w:hAnsi="Times New Roman" w:eastAsia="Times New Roman"/>
          <w:color w:val="000000"/>
        </w:rPr>
      </w:pPr>
      <w:r>
        <w:rPr>
          <w:rFonts w:ascii="Times New Roman" w:hAnsi="Times New Roman" w:eastAsia="Times New Roman"/>
          <w:b/>
          <w:color w:val="000000"/>
        </w:rPr>
        <w:t>15.4.</w:t>
      </w:r>
      <w:r>
        <w:rPr>
          <w:rFonts w:ascii="Times New Roman" w:hAnsi="Times New Roman" w:eastAsia="Times New Roman"/>
          <w:color w:val="000000"/>
        </w:rPr>
        <w:t xml:space="preserve"> A ação da fiscalização não exonera a Contratada de suas responsabilidades contratuais.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CLÁUSULA DÉCIMA SEXTA - DO FORO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color w:val="000000"/>
        </w:rPr>
        <w:t>16.1.</w:t>
      </w:r>
      <w:r>
        <w:rPr>
          <w:rFonts w:ascii="Times New Roman" w:hAnsi="Times New Roman" w:eastAsia="Times New Roman"/>
          <w:color w:val="000000"/>
        </w:rPr>
        <w:t xml:space="preserve"> Fica eleito o foro da Comarca de São Domingos do Norte, Estado do Espírito Santo, para dirimir qualquer dúvida ou contestação oriunda direta ou indiretamente deste instrumento, renunciando-se expressamente a qualquer outro, por mais privilegiado que seja.</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E, por estarem justos e contratados, assinam o presente em duas vias de igual teor e forma, para igual distribuição, para que produza seus efeitos legais.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São Domingos do Norte/ES,  ___ de janeiro de 2020.</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rPr>
          <w:b/>
          <w:iCs/>
          <w:color w:val="000000"/>
          <w:sz w:val="22"/>
          <w:szCs w:val="22"/>
        </w:rPr>
      </w:pPr>
      <w:r>
        <w:rPr>
          <w:b/>
          <w:iCs/>
          <w:color w:val="000000"/>
          <w:sz w:val="22"/>
          <w:szCs w:val="22"/>
        </w:rPr>
        <w:t>ANEXO X</w:t>
      </w:r>
    </w:p>
    <w:p>
      <w:pPr>
        <w:spacing/>
        <w:jc w:val="both"/>
        <w:rPr>
          <w:b/>
          <w:iCs/>
          <w:color w:val="000000"/>
          <w:sz w:val="22"/>
          <w:szCs w:val="22"/>
        </w:rPr>
      </w:pPr>
      <w:r>
        <w:rPr>
          <w:b/>
          <w:iCs/>
          <w:color w:val="000000"/>
          <w:sz w:val="22"/>
          <w:szCs w:val="22"/>
        </w:rPr>
      </w:r>
    </w:p>
    <w:p>
      <w:pPr>
        <w:pStyle w:val="para33"/>
        <w:spacing w:before="0"/>
        <w:tabs defTabSz="708"/>
        <w:rPr>
          <w:color w:val="000000"/>
          <w:sz w:val="22"/>
          <w:szCs w:val="22"/>
        </w:rPr>
      </w:pPr>
      <w:r>
        <w:rPr>
          <w:color w:val="000000"/>
          <w:sz w:val="22"/>
          <w:szCs w:val="22"/>
        </w:rPr>
        <w:t>MINUTA DO CONTRATO</w:t>
      </w:r>
    </w:p>
    <w:p>
      <w:pPr>
        <w:pStyle w:val="para33"/>
        <w:spacing w:before="0"/>
        <w:jc w:val="both"/>
        <w:tabs defTabSz="708"/>
        <w:rPr>
          <w:color w:val="000000"/>
          <w:sz w:val="22"/>
          <w:szCs w:val="22"/>
        </w:rPr>
      </w:pPr>
      <w:r>
        <w:rPr>
          <w:color w:val="000000"/>
          <w:sz w:val="22"/>
          <w:szCs w:val="22"/>
        </w:rPr>
      </w:r>
    </w:p>
    <w:p>
      <w:pPr>
        <w:pStyle w:val="para33"/>
        <w:spacing w:before="0"/>
        <w:jc w:val="both"/>
        <w:tabs defTabSz="708"/>
        <w:rPr>
          <w:b w:val="0"/>
          <w:color w:val="000000"/>
          <w:sz w:val="22"/>
          <w:szCs w:val="22"/>
        </w:rPr>
      </w:pPr>
      <w:r>
        <w:rPr>
          <w:b w:val="0"/>
          <w:color w:val="000000"/>
          <w:sz w:val="22"/>
          <w:szCs w:val="22"/>
        </w:rPr>
        <w:t>Contrato n</w:t>
      </w:r>
      <w:r>
        <w:rPr>
          <w:b w:val="0"/>
          <w:color w:val="000000"/>
          <w:sz w:val="22"/>
          <w:szCs w:val="22"/>
          <w:u w:color="auto" w:val="single"/>
          <w:vertAlign w:val="superscript"/>
        </w:rPr>
        <w:t>o</w:t>
      </w:r>
      <w:r>
        <w:rPr>
          <w:b w:val="0"/>
          <w:color w:val="000000"/>
          <w:sz w:val="22"/>
          <w:szCs w:val="22"/>
        </w:rPr>
        <w:t xml:space="preserve"> ....................</w:t>
      </w:r>
    </w:p>
    <w:p>
      <w:pPr>
        <w:pStyle w:val="para25"/>
        <w:spacing w:before="0" w:after="0"/>
        <w:jc w:val="both"/>
        <w:tabs defTabSz="708"/>
        <w:rPr>
          <w:color w:val="000000"/>
          <w:sz w:val="22"/>
          <w:szCs w:val="22"/>
        </w:rPr>
      </w:pPr>
      <w:r>
        <w:rPr>
          <w:color w:val="000000"/>
          <w:sz w:val="22"/>
          <w:szCs w:val="22"/>
        </w:rPr>
        <w:t>Processo n</w:t>
      </w:r>
      <w:r>
        <w:rPr>
          <w:color w:val="000000"/>
          <w:sz w:val="22"/>
          <w:szCs w:val="22"/>
          <w:u w:color="auto" w:val="single"/>
          <w:vertAlign w:val="superscript"/>
        </w:rPr>
        <w:t>o</w:t>
      </w:r>
      <w:r>
        <w:rPr>
          <w:color w:val="000000"/>
          <w:sz w:val="22"/>
          <w:szCs w:val="22"/>
        </w:rPr>
        <w:t xml:space="preserve"> 5254/2019, 5260/2019, 5264/2019, 5276/2019, 5299/2019, 5402/2019</w:t>
      </w:r>
    </w:p>
    <w:p>
      <w:pPr>
        <w:pStyle w:val="para25"/>
        <w:spacing w:before="0" w:after="0"/>
        <w:jc w:val="both"/>
        <w:tabs defTabSz="708"/>
        <w:rPr>
          <w:color w:val="000000"/>
          <w:sz w:val="22"/>
          <w:szCs w:val="22"/>
        </w:rPr>
      </w:pPr>
      <w:r>
        <w:rPr>
          <w:color w:val="000000"/>
          <w:sz w:val="22"/>
          <w:szCs w:val="22"/>
        </w:rPr>
        <w:t>Pregão Presencial n</w:t>
      </w:r>
      <w:r>
        <w:rPr>
          <w:color w:val="000000"/>
          <w:sz w:val="22"/>
          <w:szCs w:val="22"/>
          <w:u w:color="auto" w:val="single"/>
          <w:vertAlign w:val="superscript"/>
        </w:rPr>
        <w:t>o</w:t>
      </w:r>
      <w:r>
        <w:rPr>
          <w:color w:val="000000"/>
          <w:sz w:val="22"/>
          <w:szCs w:val="22"/>
        </w:rPr>
        <w:t xml:space="preserve"> 03/2020</w:t>
      </w:r>
    </w:p>
    <w:p>
      <w:pPr>
        <w:pStyle w:val="para22"/>
        <w:ind w:left="3402"/>
        <w:spacing w:before="0"/>
        <w:jc w:val="both"/>
        <w:tabs defTabSz="708"/>
        <w:rPr>
          <w:rStyle w:val="char6"/>
          <w:sz w:val="22"/>
          <w:szCs w:val="22"/>
        </w:rPr>
      </w:pPr>
      <w:r>
        <w:rPr>
          <w:rStyle w:val="char6"/>
          <w:sz w:val="22"/>
          <w:szCs w:val="22"/>
        </w:rPr>
      </w:r>
    </w:p>
    <w:p>
      <w:pPr>
        <w:pStyle w:val="para22"/>
        <w:ind w:left="3402"/>
        <w:spacing w:before="0"/>
        <w:jc w:val="both"/>
        <w:tabs defTabSz="708"/>
        <w:rPr>
          <w:rStyle w:val="char6"/>
          <w:sz w:val="22"/>
          <w:szCs w:val="22"/>
        </w:rPr>
      </w:pPr>
      <w:r>
        <w:rPr>
          <w:rStyle w:val="char6"/>
          <w:sz w:val="22"/>
          <w:szCs w:val="22"/>
        </w:rPr>
        <w:t xml:space="preserve">TERMO DE CONTRATO QUE ENTRE SI FAZEM O </w:t>
      </w:r>
      <w:r>
        <w:rPr>
          <w:b/>
          <w:bCs/>
          <w:sz w:val="22"/>
          <w:szCs w:val="22"/>
        </w:rPr>
        <w:t>MUNICÍPIO DE SÃO DOMINGOS DO NORTE</w:t>
      </w:r>
      <w:r>
        <w:rPr>
          <w:rStyle w:val="char6"/>
          <w:sz w:val="22"/>
          <w:szCs w:val="22"/>
        </w:rPr>
        <w:t xml:space="preserve"> E A </w:t>
      </w:r>
      <w:r>
        <w:rPr>
          <w:rStyle w:val="char6"/>
          <w:sz w:val="22"/>
          <w:szCs w:val="22"/>
        </w:rPr>
        <w:t>EMPRESA ...</w:t>
      </w:r>
      <w:r>
        <w:rPr>
          <w:rStyle w:val="char6"/>
          <w:sz w:val="22"/>
          <w:szCs w:val="22"/>
        </w:rPr>
        <w:t>.................................... PARA A AQUISIÇÃO DE MATERIAL DE CONSUMO</w:t>
      </w:r>
      <w:r>
        <w:rPr>
          <w:rStyle w:val="char6"/>
          <w:sz w:val="22"/>
          <w:szCs w:val="22"/>
        </w:rPr>
      </w:r>
    </w:p>
    <w:p>
      <w:pPr>
        <w:pStyle w:val="para22"/>
        <w:ind w:left="3402"/>
        <w:spacing w:before="0"/>
        <w:jc w:val="both"/>
        <w:tabs defTabSz="708"/>
        <w:rPr>
          <w:sz w:val="22"/>
          <w:szCs w:val="22"/>
        </w:rPr>
      </w:pPr>
      <w:r>
        <w:rPr>
          <w:sz w:val="22"/>
          <w:szCs w:val="22"/>
        </w:rPr>
      </w:r>
    </w:p>
    <w:p>
      <w:pPr>
        <w:pStyle w:val="para25"/>
        <w:spacing w:before="0" w:after="0"/>
        <w:jc w:val="both"/>
        <w:tabs defTabSz="708"/>
        <w:rPr>
          <w:color w:val="000000"/>
          <w:sz w:val="22"/>
          <w:szCs w:val="22"/>
        </w:rPr>
      </w:pPr>
      <w:r>
        <w:rPr>
          <w:color w:val="000000"/>
          <w:sz w:val="22"/>
          <w:szCs w:val="22"/>
        </w:rPr>
        <w:t xml:space="preserve">Pelo presente instrumento, </w:t>
      </w:r>
      <w:r>
        <w:rPr>
          <w:b/>
          <w:bCs/>
          <w:color w:val="000000"/>
          <w:sz w:val="22"/>
          <w:szCs w:val="22"/>
        </w:rPr>
        <w:t xml:space="preserve">O MUNICÍPIO DE SÃO DOMINGOS DO NORTE, </w:t>
      </w:r>
      <w:r>
        <w:rPr>
          <w:color w:val="000000"/>
          <w:sz w:val="22"/>
          <w:szCs w:val="22"/>
        </w:rPr>
        <w:t>Estado do Espírito Santo, pessoa Jurídica de Direito Público Interno, sediado na Rod. Gether Lopes de Farias, s/nº - São Domingos do Norte-ES, inscrito no Cadastro Nacional de Pessoa Jurídica sob o Nº 36.350.312/0001-72, neste ato representado pelo PREFEITO MUNICIPAL</w:t>
      </w:r>
      <w:r>
        <w:rPr>
          <w:b/>
          <w:bCs/>
          <w:color w:val="000000"/>
          <w:sz w:val="22"/>
          <w:szCs w:val="22"/>
        </w:rPr>
        <w:t xml:space="preserve">, </w:t>
      </w:r>
      <w:r>
        <w:rPr>
          <w:color w:val="000000"/>
          <w:sz w:val="22"/>
          <w:szCs w:val="22"/>
        </w:rPr>
        <w:t>o</w:t>
      </w:r>
      <w:r>
        <w:rPr>
          <w:b/>
          <w:bCs/>
          <w:color w:val="000000"/>
          <w:sz w:val="22"/>
          <w:szCs w:val="22"/>
        </w:rPr>
        <w:t xml:space="preserve"> </w:t>
      </w:r>
      <w:r>
        <w:rPr>
          <w:bCs/>
          <w:color w:val="000000"/>
          <w:sz w:val="22"/>
          <w:szCs w:val="22"/>
        </w:rPr>
        <w:t>Srº ...............</w:t>
      </w:r>
      <w:r>
        <w:rPr>
          <w:color w:val="000000"/>
          <w:sz w:val="22"/>
          <w:szCs w:val="22"/>
        </w:rPr>
        <w:t xml:space="preserve">, ....................(nacionalidade), .............. (estado civil), portador do CPF nº ........................, residente na ..................................., aqui denominado </w:t>
      </w:r>
      <w:r>
        <w:rPr>
          <w:b/>
          <w:bCs/>
          <w:color w:val="000000"/>
          <w:sz w:val="22"/>
          <w:szCs w:val="22"/>
        </w:rPr>
        <w:t>CONTRATANTE</w:t>
      </w:r>
      <w:r>
        <w:rPr>
          <w:color w:val="000000"/>
          <w:sz w:val="22"/>
          <w:szCs w:val="22"/>
        </w:rPr>
        <w:t xml:space="preserve"> e a Empresa ............................, doravante denominada </w:t>
      </w:r>
      <w:r>
        <w:rPr>
          <w:b/>
          <w:bCs/>
          <w:color w:val="000000"/>
          <w:sz w:val="22"/>
          <w:szCs w:val="22"/>
        </w:rPr>
        <w:t>CONTRATADA</w:t>
      </w:r>
      <w:r>
        <w:rPr>
          <w:color w:val="000000"/>
          <w:sz w:val="22"/>
          <w:szCs w:val="22"/>
        </w:rPr>
        <w:t>, com sede ....................... (endereço completo) .........................., inscrita no CNPJ/MF sob o n</w:t>
      </w:r>
      <w:r>
        <w:rPr>
          <w:color w:val="000000"/>
          <w:sz w:val="22"/>
          <w:szCs w:val="22"/>
          <w:u w:color="auto" w:val="single"/>
          <w:vertAlign w:val="superscript"/>
        </w:rPr>
        <w:t>o</w:t>
      </w:r>
      <w:r>
        <w:rPr>
          <w:color w:val="000000"/>
          <w:sz w:val="22"/>
          <w:szCs w:val="22"/>
        </w:rPr>
        <w:t xml:space="preserve"> ............................................. neste ato representada pelo .................... (condição jurídica do representante) .................. Srº. ........................... (nome, nacionalidade, estado civil, profissão) ajustam o presente </w:t>
      </w:r>
      <w:r>
        <w:rPr>
          <w:b/>
          <w:color w:val="000000"/>
          <w:sz w:val="22"/>
          <w:szCs w:val="22"/>
        </w:rPr>
        <w:t>CONTRATO</w:t>
      </w:r>
      <w:r>
        <w:rPr>
          <w:color w:val="000000"/>
          <w:sz w:val="22"/>
          <w:szCs w:val="22"/>
        </w:rPr>
        <w:t>, nos termos das Leis n</w:t>
      </w:r>
      <w:r>
        <w:rPr>
          <w:color w:val="000000"/>
          <w:sz w:val="22"/>
          <w:szCs w:val="22"/>
          <w:u w:color="auto" w:val="single"/>
          <w:vertAlign w:val="superscript"/>
        </w:rPr>
        <w:t>o</w:t>
      </w:r>
      <w:r>
        <w:rPr>
          <w:color w:val="000000"/>
          <w:sz w:val="22"/>
          <w:szCs w:val="22"/>
        </w:rPr>
        <w:t xml:space="preserve"> 8.666, de 21 de junho de 1993, n</w:t>
      </w:r>
      <w:r>
        <w:rPr>
          <w:color w:val="000000"/>
          <w:sz w:val="22"/>
          <w:szCs w:val="22"/>
          <w:u w:color="auto" w:val="single"/>
          <w:vertAlign w:val="superscript"/>
        </w:rPr>
        <w:t>o</w:t>
      </w:r>
      <w:r>
        <w:rPr>
          <w:color w:val="000000"/>
          <w:sz w:val="22"/>
          <w:szCs w:val="22"/>
        </w:rPr>
        <w:t xml:space="preserve"> 8.883 e Lei Complementar nº 123/2006, de acordo com os termos do Processo de n</w:t>
      </w:r>
      <w:r>
        <w:rPr>
          <w:color w:val="000000"/>
          <w:sz w:val="22"/>
          <w:szCs w:val="22"/>
          <w:u w:color="auto" w:val="single"/>
          <w:vertAlign w:val="superscript"/>
        </w:rPr>
        <w:t>o</w:t>
      </w:r>
      <w:r>
        <w:rPr>
          <w:color w:val="000000"/>
          <w:sz w:val="22"/>
          <w:szCs w:val="22"/>
        </w:rPr>
        <w:t xml:space="preserve"> XXXX/2020,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p>
    <w:p>
      <w:pPr>
        <w:spacing w:before="0"/>
        <w:jc w:val="both"/>
        <w:tabs defTabSz="708"/>
        <w:rPr>
          <w:b/>
          <w:color w:val="000000"/>
          <w:sz w:val="22"/>
          <w:szCs w:val="22"/>
        </w:rPr>
      </w:pPr>
      <w:r>
        <w:rPr>
          <w:b/>
          <w:color w:val="000000"/>
          <w:sz w:val="22"/>
          <w:szCs w:val="22"/>
        </w:rPr>
        <w:t>CLÁUSULA PRIMEIRA - DO OBJETO</w:t>
      </w:r>
    </w:p>
    <w:p>
      <w:pPr>
        <w:spacing w:before="0"/>
        <w:jc w:val="both"/>
        <w:tabs defTabSz="708"/>
        <w:rPr>
          <w:color w:val="000000"/>
          <w:sz w:val="22"/>
          <w:szCs w:val="22"/>
        </w:rPr>
      </w:pPr>
      <w:r>
        <w:rPr>
          <w:color w:val="000000"/>
          <w:sz w:val="22"/>
          <w:szCs w:val="22"/>
        </w:rPr>
        <w:t>1.1. Aquisição de combustíveis para serem usados nos veículos lotados nas diversas Secretarias desta Prefeitura Municipal de São Domingos do Norte. Estes se fazem necessários para atender as necessidades dos funcionários quanto às dos munícipes, para o exercício de 2020.</w:t>
      </w:r>
    </w:p>
    <w:p>
      <w:pPr>
        <w:pStyle w:val="para37"/>
        <w:spacing w:before="0"/>
        <w:jc w:val="both"/>
        <w:tabs defTabSz="708"/>
        <w:rPr>
          <w:rFonts w:ascii="Times New Roman" w:hAnsi="Times New Roman" w:eastAsia="Times New Roman"/>
          <w:b/>
          <w:color w:val="000000"/>
        </w:rPr>
      </w:pPr>
      <w:r>
        <w:rPr>
          <w:rFonts w:ascii="Times New Roman" w:hAnsi="Times New Roman" w:eastAsia="Times New Roman"/>
          <w:b/>
          <w:color w:val="000000"/>
        </w:rPr>
        <w:t>CLÁUSULA SEGUNDA – VIGÊNCIA</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 xml:space="preserve">2.1 - O contrato terá inicio após sua assinatura validade do contrato até </w:t>
      </w:r>
      <w:r>
        <w:rPr>
          <w:rFonts w:ascii="Times New Roman" w:hAnsi="Times New Roman" w:eastAsia="Times New Roman"/>
          <w:b/>
          <w:color w:val="000000"/>
        </w:rPr>
        <w:t>31/12/2020.</w:t>
      </w:r>
      <w:r>
        <w:rPr>
          <w:rFonts w:ascii="Times New Roman" w:hAnsi="Times New Roman" w:eastAsia="Times New Roman"/>
          <w:color w:val="000000"/>
        </w:rPr>
      </w:r>
    </w:p>
    <w:p>
      <w:pPr>
        <w:spacing w:before="0"/>
        <w:jc w:val="both"/>
        <w:tabs defTabSz="708"/>
        <w:rPr>
          <w:color w:val="000000"/>
          <w:sz w:val="22"/>
          <w:szCs w:val="22"/>
        </w:rPr>
      </w:pPr>
      <w:r>
        <w:rPr>
          <w:color w:val="000000"/>
          <w:sz w:val="22"/>
          <w:szCs w:val="22"/>
        </w:rPr>
        <w:t>2.2. É vedada a assunção de obrigações que importem em necessidade de alocação de créditos orçamentários relativos a exercício financeiro futuro.</w:t>
      </w:r>
    </w:p>
    <w:p>
      <w:pPr>
        <w:pStyle w:val="para37"/>
        <w:spacing w:before="0"/>
        <w:jc w:val="both"/>
        <w:tabs defTabSz="708"/>
        <w:rPr>
          <w:rFonts w:ascii="Times New Roman" w:hAnsi="Times New Roman" w:eastAsia="Times New Roman"/>
          <w:b/>
          <w:color w:val="000000"/>
        </w:rPr>
      </w:pPr>
      <w:r>
        <w:rPr>
          <w:rFonts w:ascii="Times New Roman" w:hAnsi="Times New Roman" w:eastAsia="Times New Roman"/>
          <w:b/>
          <w:color w:val="000000"/>
        </w:rPr>
        <w:t>CLÁUSULA TERCEIRA - VALOR DO CONTRATO, PAGAMENTO E RECURSOS:</w:t>
      </w:r>
    </w:p>
    <w:p>
      <w:pPr>
        <w:spacing w:before="0"/>
        <w:jc w:val="both"/>
        <w:tabs defTabSz="708"/>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color w:val="000000"/>
          <w:sz w:val="22"/>
          <w:szCs w:val="22"/>
        </w:rPr>
      </w:pPr>
      <w:r>
        <w:rPr>
          <w:color w:val="000000"/>
          <w:sz w:val="22"/>
          <w:szCs w:val="22"/>
        </w:rPr>
        <w:t xml:space="preserve">3.1 O pagamento será efetuado em até 15 (dias) dia após o recebimento da Nota Fiscal, </w:t>
        <w:tab/>
        <w:t>e o atestado do fiscal do contrato.</w:t>
      </w:r>
    </w:p>
    <w:p>
      <w:pPr>
        <w:spacing w:before="0"/>
        <w:jc w:val="both"/>
        <w:tabs defTabSz="708"/>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color w:val="000000"/>
          <w:sz w:val="22"/>
          <w:szCs w:val="22"/>
        </w:rPr>
      </w:pPr>
      <w:r>
        <w:rPr>
          <w:color w:val="000000"/>
          <w:sz w:val="22"/>
          <w:szCs w:val="22"/>
        </w:rPr>
        <w:t>a) cronograma de desembolso máximo por período, em conformidade com a disponibilidade de recursos financeiros;</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b) critério de atualização financeira dos valores a serem pagos, desde a data a ser definida nos termos da alínea a deste inciso até a data do efetivo pagamento;</w:t>
      </w:r>
    </w:p>
    <w:p>
      <w:pPr>
        <w:pStyle w:val="para37"/>
        <w:spacing w:before="0"/>
        <w:jc w:val="both"/>
        <w:widowControl w:val="0"/>
        <w:tabs defTabSz="708"/>
        <w:rPr>
          <w:rFonts w:ascii="Times New Roman" w:hAnsi="Times New Roman" w:eastAsia="Times New Roman"/>
          <w:color w:val="000000"/>
        </w:rPr>
      </w:pPr>
      <w:r>
        <w:rPr>
          <w:rFonts w:ascii="Times New Roman" w:hAnsi="Times New Roman" w:eastAsia="Times New Roman"/>
          <w:color w:val="000000"/>
        </w:rPr>
        <w:t>3.2. Havendo necessidade de reajuste de preço, tanto de elevação como redução, seja proposto através de requerimento da contratada ao Prefeito Municipal, através da secretaria competente, ou por iniciativa da Administração, conforme o caso, com a indicação dos percentuais de alteração, acompanhado de cópias xerográficas autenticadas das notas fiscais de compra que permitam a comprovação e a verificação da compatibilidade dos custos com as alterações pleiteadas, desde que mantida a relação entre o preço da bomba e o da oferta verificado na adjudicação do Pregão Presencial.</w:t>
      </w:r>
    </w:p>
    <w:p>
      <w:pPr>
        <w:spacing w:before="0"/>
        <w:jc w:val="both"/>
        <w:tabs defTabSz="708"/>
        <w:rPr>
          <w:color w:val="000000"/>
          <w:sz w:val="22"/>
          <w:szCs w:val="22"/>
        </w:rPr>
      </w:pPr>
      <w:r>
        <w:rPr>
          <w:color w:val="000000"/>
          <w:sz w:val="22"/>
          <w:szCs w:val="22"/>
        </w:rPr>
        <w:t>3.3. As despesas decorrentes da presente licitação serão pagos com recursos consignados no orçamento municipal.</w:t>
      </w:r>
    </w:p>
    <w:p>
      <w:pPr>
        <w:spacing w:before="0"/>
        <w:jc w:val="both"/>
        <w:tabs defTabSz="708"/>
        <w:rPr>
          <w:b/>
          <w:color w:val="000000"/>
          <w:sz w:val="22"/>
          <w:szCs w:val="22"/>
        </w:rPr>
      </w:pPr>
      <w:r>
        <w:rPr>
          <w:b/>
          <w:color w:val="000000"/>
          <w:sz w:val="22"/>
          <w:szCs w:val="22"/>
        </w:rPr>
        <w:t>Fichas:</w:t>
      </w:r>
    </w:p>
    <w:p>
      <w:pPr>
        <w:spacing w:before="0"/>
        <w:jc w:val="both"/>
        <w:tabs defTabSz="708"/>
        <w:rPr>
          <w:b/>
          <w:color w:val="000000"/>
          <w:sz w:val="22"/>
          <w:szCs w:val="22"/>
        </w:rPr>
      </w:pPr>
      <w:r>
        <w:rPr>
          <w:b/>
          <w:color w:val="000000"/>
          <w:sz w:val="22"/>
          <w:szCs w:val="22"/>
        </w:rPr>
        <w:t>Secretaria Municipal de Educação e Cultura</w:t>
      </w:r>
    </w:p>
    <w:p>
      <w:pPr>
        <w:spacing w:before="0"/>
        <w:jc w:val="both"/>
        <w:tabs defTabSz="708"/>
        <w:rPr>
          <w:color w:val="000000"/>
          <w:sz w:val="22"/>
          <w:szCs w:val="22"/>
        </w:rPr>
      </w:pPr>
      <w:r>
        <w:rPr>
          <w:color w:val="000000"/>
          <w:sz w:val="22"/>
          <w:szCs w:val="22"/>
        </w:rPr>
        <w:t>93 - 1001, 149 - 1111, 233 - 1001.</w:t>
      </w:r>
    </w:p>
    <w:p>
      <w:pPr>
        <w:spacing w:before="0"/>
        <w:jc w:val="both"/>
        <w:tabs defTabSz="708"/>
        <w:rPr>
          <w:b/>
          <w:color w:val="000000"/>
          <w:sz w:val="22"/>
          <w:szCs w:val="22"/>
        </w:rPr>
      </w:pPr>
      <w:r>
        <w:rPr>
          <w:b/>
          <w:color w:val="000000"/>
          <w:sz w:val="22"/>
          <w:szCs w:val="22"/>
        </w:rPr>
        <w:t>Secretaria Municipal de obras e Serviços Urbanos</w:t>
      </w:r>
    </w:p>
    <w:p>
      <w:pPr>
        <w:spacing w:before="0"/>
        <w:jc w:val="both"/>
        <w:tabs defTabSz="708"/>
        <w:rPr>
          <w:color w:val="000000"/>
          <w:sz w:val="22"/>
          <w:szCs w:val="22"/>
        </w:rPr>
      </w:pPr>
      <w:r>
        <w:rPr>
          <w:color w:val="000000"/>
          <w:sz w:val="22"/>
          <w:szCs w:val="22"/>
        </w:rPr>
        <w:t>382 - 1001, 411 - 1001, 420 - 1001.</w:t>
      </w:r>
    </w:p>
    <w:p>
      <w:pPr>
        <w:spacing w:before="0"/>
        <w:jc w:val="both"/>
        <w:tabs defTabSz="708"/>
        <w:rPr>
          <w:b/>
          <w:color w:val="000000"/>
          <w:sz w:val="22"/>
          <w:szCs w:val="22"/>
        </w:rPr>
      </w:pPr>
      <w:r>
        <w:rPr>
          <w:b/>
          <w:color w:val="000000"/>
          <w:sz w:val="22"/>
          <w:szCs w:val="22"/>
        </w:rPr>
        <w:t>Gabinete do Prefeito</w:t>
      </w:r>
    </w:p>
    <w:p>
      <w:pPr>
        <w:spacing w:before="0"/>
        <w:jc w:val="both"/>
        <w:tabs defTabSz="708"/>
        <w:rPr>
          <w:color w:val="000000"/>
          <w:sz w:val="22"/>
          <w:szCs w:val="22"/>
        </w:rPr>
      </w:pPr>
      <w:r>
        <w:rPr>
          <w:color w:val="000000"/>
          <w:sz w:val="22"/>
          <w:szCs w:val="22"/>
        </w:rPr>
        <w:t>04 – 1001.</w:t>
      </w:r>
    </w:p>
    <w:p>
      <w:pPr>
        <w:spacing w:before="0"/>
        <w:jc w:val="both"/>
        <w:tabs defTabSz="708"/>
        <w:rPr>
          <w:b/>
          <w:color w:val="000000"/>
          <w:sz w:val="22"/>
          <w:szCs w:val="22"/>
        </w:rPr>
      </w:pPr>
      <w:r>
        <w:rPr>
          <w:b/>
          <w:color w:val="000000"/>
          <w:sz w:val="22"/>
          <w:szCs w:val="22"/>
        </w:rPr>
        <w:t>Secretaria Municipal de Agricultura</w:t>
      </w:r>
    </w:p>
    <w:p>
      <w:pPr>
        <w:spacing w:before="0"/>
        <w:jc w:val="both"/>
        <w:tabs defTabSz="708"/>
        <w:rPr>
          <w:color w:val="000000"/>
          <w:sz w:val="22"/>
          <w:szCs w:val="22"/>
        </w:rPr>
      </w:pPr>
      <w:r>
        <w:rPr>
          <w:color w:val="000000"/>
          <w:sz w:val="22"/>
          <w:szCs w:val="22"/>
        </w:rPr>
        <w:t>452 - 1001, 460 - 1001, 477 - 1001, 487 - 1001.</w:t>
      </w:r>
    </w:p>
    <w:p>
      <w:pPr>
        <w:spacing w:before="0"/>
        <w:jc w:val="both"/>
        <w:tabs defTabSz="708"/>
        <w:rPr>
          <w:b/>
          <w:color w:val="000000"/>
          <w:sz w:val="22"/>
          <w:szCs w:val="22"/>
        </w:rPr>
      </w:pPr>
      <w:r>
        <w:rPr>
          <w:b/>
          <w:color w:val="000000"/>
          <w:sz w:val="22"/>
          <w:szCs w:val="22"/>
        </w:rPr>
        <w:t>Secretaria Municipal de Meio Ambiente</w:t>
      </w:r>
    </w:p>
    <w:p>
      <w:pPr>
        <w:spacing w:before="0"/>
        <w:jc w:val="both"/>
        <w:tabs defTabSz="708"/>
        <w:rPr>
          <w:color w:val="000000"/>
          <w:sz w:val="22"/>
          <w:szCs w:val="22"/>
        </w:rPr>
      </w:pPr>
      <w:r>
        <w:rPr>
          <w:color w:val="000000"/>
          <w:sz w:val="22"/>
          <w:szCs w:val="22"/>
        </w:rPr>
        <w:t>498 – 1001.</w:t>
      </w:r>
    </w:p>
    <w:p>
      <w:pPr>
        <w:spacing w:before="0"/>
        <w:jc w:val="both"/>
        <w:tabs defTabSz="708"/>
        <w:rPr>
          <w:b/>
          <w:color w:val="000000"/>
          <w:sz w:val="22"/>
          <w:szCs w:val="22"/>
        </w:rPr>
      </w:pPr>
      <w:r>
        <w:rPr>
          <w:b/>
          <w:color w:val="000000"/>
          <w:sz w:val="22"/>
          <w:szCs w:val="22"/>
        </w:rPr>
        <w:t>Secretaria Municipal Trabalho Assistência e Desenvolvimento Social</w:t>
      </w:r>
    </w:p>
    <w:p>
      <w:pPr>
        <w:spacing w:before="0"/>
        <w:jc w:val="both"/>
        <w:tabs defTabSz="708"/>
        <w:rPr>
          <w:color w:val="000000"/>
          <w:sz w:val="22"/>
          <w:szCs w:val="22"/>
        </w:rPr>
      </w:pPr>
      <w:r>
        <w:rPr>
          <w:color w:val="000000"/>
          <w:sz w:val="22"/>
          <w:szCs w:val="22"/>
        </w:rPr>
        <w:t>343 - 1311, 361 - 1001, 373 - 1001, 332 - 1390.</w:t>
      </w:r>
    </w:p>
    <w:p>
      <w:pPr>
        <w:pStyle w:val="para37"/>
        <w:spacing w:before="0"/>
        <w:jc w:val="both"/>
        <w:tabs defTabSz="708"/>
        <w:rPr>
          <w:rFonts w:ascii="Times New Roman" w:hAnsi="Times New Roman" w:eastAsia="Times New Roman"/>
          <w:b/>
          <w:color w:val="000000"/>
        </w:rPr>
      </w:pPr>
      <w:r>
        <w:rPr>
          <w:rFonts w:ascii="Times New Roman" w:hAnsi="Times New Roman" w:eastAsia="Times New Roman"/>
          <w:b/>
          <w:color w:val="000000"/>
        </w:rPr>
        <w:t>CLÁUSULA QUARTA - OBRIGAÇÕES DA CONTRATADA</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4.1. Além das obrigações que lhe são comuns e peculiares cabe exclusivamente à contratada:</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a) arcar com todas as despesas de transporte e entrega das mercadorias;</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b) fornecer o produto de primeira qualidade.</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c) informar ao órgão requisitante do CONTRATANTE da ocorrência de quaisquer atos, fatos ou circunstancias que possam atrasar ou impedir o fornecimento dentro do prazo estabelecido;</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d) cumprir a quantidade solicitada na ordem de fornecimento, respeitando o prazo e datas para entrega dos produtos;</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e) reparar as irregularidades constatadas incompatíveis com as especificações e condições impostas no edital do certame originário desta contratação.</w:t>
      </w:r>
    </w:p>
    <w:p>
      <w:pPr>
        <w:pStyle w:val="para37"/>
        <w:spacing w:before="0"/>
        <w:jc w:val="both"/>
        <w:tabs defTabSz="708"/>
        <w:rPr>
          <w:rFonts w:ascii="Times New Roman" w:hAnsi="Times New Roman" w:eastAsia="Times New Roman"/>
          <w:b/>
          <w:color w:val="000000"/>
        </w:rPr>
      </w:pPr>
      <w:r>
        <w:rPr>
          <w:rFonts w:ascii="Times New Roman" w:hAnsi="Times New Roman" w:eastAsia="Times New Roman"/>
          <w:b/>
          <w:color w:val="000000"/>
        </w:rPr>
        <w:t>CLÁUSULA QUINTA - OBRIGAÇÕES DO CONTRATANTE</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5.1. Além das obrigações que lhe são comuns e peculiares cabe exclusivamente ao contratante:</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a) efetuar os pagamentos devidos, nas condições estabelecidas neste Contrato;</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b) acompanhar e verificar o andamento das entregas e a qualidade do produto a ser entregue;</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c) fornecer todas as informações necessárias ao cumprimento do contrato.</w:t>
      </w:r>
    </w:p>
    <w:p>
      <w:pPr>
        <w:pStyle w:val="para37"/>
        <w:spacing w:before="0"/>
        <w:jc w:val="both"/>
        <w:tabs defTabSz="708"/>
        <w:rPr>
          <w:rFonts w:ascii="Times New Roman" w:hAnsi="Times New Roman" w:eastAsia="Times New Roman"/>
          <w:b/>
          <w:color w:val="000000"/>
        </w:rPr>
      </w:pPr>
      <w:r>
        <w:rPr>
          <w:rFonts w:ascii="Times New Roman" w:hAnsi="Times New Roman" w:eastAsia="Times New Roman"/>
          <w:b/>
          <w:color w:val="000000"/>
        </w:rPr>
        <w:t>CLÁUSULA SEXTA - RESCISÃO DO CONTRATO</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6.1. Este Termo poderá ser rescindido por mútuo acordo dos CONTRATANTES, atendida a conveniência dos serviços, recebendo o CONTRATADO o valor das vendas efetuadas.</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6.2. O Contratante terá direito de rescindir o presente contrato independentemente de ação, notificação ou interpelação judicial, nas seguintes hipóteses:</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a) No caso de ser cometida qualquer fraude pela CONTRATADA;</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b)Quando pela reiteração de impugnações feitas pela fiscalização ou pelo CONTRATANTE, ficar evidenciada a má fé ou a incapacidade da CONTRATADA;</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c) Se a CONTRATADA transferir o presente Contrato, no todo ou em partes, a terceiros, sem prévia autorização do CONTRATANTE;</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d) Se houver interrupção na distribuição, sem justo motivo devidamente comprovado, por mais de 02 (dois) dias consecutivos;</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e) No interesse do serviço público, devidamente justificado;</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f) Os casos de rescisão respeitarão os preceitos constantes no Art. 79, combinados com o Art. 78 da Lei nº 8.666/93 de 21/06/93.</w:t>
      </w:r>
    </w:p>
    <w:p>
      <w:pPr>
        <w:spacing w:before="0"/>
        <w:jc w:val="both"/>
        <w:tabs defTabSz="708"/>
        <w:rPr>
          <w:b/>
          <w:color w:val="000000"/>
          <w:sz w:val="22"/>
          <w:szCs w:val="22"/>
        </w:rPr>
      </w:pPr>
      <w:r>
        <w:rPr>
          <w:b/>
          <w:color w:val="000000"/>
          <w:sz w:val="22"/>
          <w:szCs w:val="22"/>
        </w:rPr>
        <w:t>CLÁUSULA SÉTIMA - DOS ADITAMENTOS</w:t>
      </w:r>
    </w:p>
    <w:p>
      <w:pPr>
        <w:spacing w:before="0"/>
        <w:jc w:val="both"/>
        <w:tabs defTabSz="708"/>
        <w:rPr>
          <w:color w:val="000000"/>
          <w:sz w:val="22"/>
          <w:szCs w:val="22"/>
        </w:rPr>
      </w:pPr>
      <w:r>
        <w:rPr>
          <w:color w:val="000000"/>
          <w:sz w:val="22"/>
          <w:szCs w:val="22"/>
        </w:rPr>
        <w:t>7.1. O presente contrato poderá ser aditado, estritamente, nos termos previstos na Lei n</w:t>
      </w:r>
      <w:r>
        <w:rPr>
          <w:color w:val="000000"/>
          <w:sz w:val="22"/>
          <w:szCs w:val="22"/>
          <w:u w:color="auto" w:val="single"/>
          <w:vertAlign w:val="superscript"/>
        </w:rPr>
        <w:t>o</w:t>
      </w:r>
      <w:r>
        <w:rPr>
          <w:color w:val="000000"/>
          <w:sz w:val="22"/>
          <w:szCs w:val="22"/>
        </w:rPr>
        <w:t xml:space="preserve"> 8.666/93, após manifestação formal da Procuradoria Geral do Município.</w:t>
      </w:r>
    </w:p>
    <w:p>
      <w:pPr>
        <w:pStyle w:val="para37"/>
        <w:spacing w:before="0"/>
        <w:jc w:val="both"/>
        <w:tabs defTabSz="708"/>
        <w:rPr>
          <w:rFonts w:ascii="Times New Roman" w:hAnsi="Times New Roman" w:eastAsia="Times New Roman"/>
          <w:b/>
          <w:color w:val="000000"/>
        </w:rPr>
      </w:pPr>
      <w:r>
        <w:rPr>
          <w:rFonts w:ascii="Times New Roman" w:hAnsi="Times New Roman" w:eastAsia="Times New Roman"/>
          <w:b/>
          <w:color w:val="000000"/>
        </w:rPr>
        <w:t>CLÁUSULA OITAVA – SANÇÕES ADMINISTRATIVAS</w:t>
      </w:r>
    </w:p>
    <w:p>
      <w:pPr>
        <w:spacing w:before="0"/>
        <w:jc w:val="both"/>
        <w:tabs defTabSz="708"/>
        <w:rPr>
          <w:sz w:val="22"/>
          <w:szCs w:val="22"/>
        </w:rPr>
      </w:pPr>
      <w:r>
        <w:rPr>
          <w:sz w:val="22"/>
          <w:szCs w:val="22"/>
        </w:rPr>
        <w:t>8.1. Em caso de atraso na execução/entrega do objeto contratado, multa de 0,3% (três centésimos por cento) por dia de atraso, até o limite de 20% (vinte por cento) sobre o valor total do contrato.</w:t>
      </w:r>
    </w:p>
    <w:p>
      <w:pPr>
        <w:spacing w:before="0"/>
        <w:jc w:val="both"/>
        <w:tabs defTabSz="708"/>
        <w:rPr>
          <w:sz w:val="22"/>
          <w:szCs w:val="22"/>
        </w:rPr>
      </w:pPr>
      <w:r>
        <w:rPr>
          <w:sz w:val="22"/>
          <w:szCs w:val="22"/>
        </w:rPr>
        <w:t>8.2. Sem prejuízo das sanções cominadas no item 11.3 desta Ata, no descumprimento de quaisquer obrigações licitatórias/contratuais, a administração municipal poderá garantida a prévia e ampla defesa, aplicar multa de 10% (dez por cento) sobre o valor total cotado pela licitante/contratada.</w:t>
      </w:r>
    </w:p>
    <w:p>
      <w:pPr>
        <w:spacing w:before="0"/>
        <w:jc w:val="both"/>
        <w:tabs defTabSz="708"/>
        <w:rPr>
          <w:sz w:val="22"/>
          <w:szCs w:val="22"/>
        </w:rPr>
      </w:pPr>
      <w:r>
        <w:rPr>
          <w:sz w:val="22"/>
          <w:szCs w:val="22"/>
        </w:rPr>
        <w:t>8.3. A licitante/contratada sujeita-se ainda as seguinte penalidades:</w:t>
      </w:r>
    </w:p>
    <w:p>
      <w:pPr>
        <w:spacing w:before="0"/>
        <w:jc w:val="both"/>
        <w:tabs defTabSz="708"/>
        <w:rPr>
          <w:sz w:val="22"/>
          <w:szCs w:val="22"/>
        </w:rPr>
      </w:pPr>
      <w:r>
        <w:rPr>
          <w:sz w:val="22"/>
          <w:szCs w:val="22"/>
        </w:rPr>
        <w:t>a) Advertência;</w:t>
      </w:r>
    </w:p>
    <w:p>
      <w:pPr>
        <w:spacing w:before="0"/>
        <w:jc w:val="both"/>
        <w:tabs defTabSz="708"/>
        <w:rPr>
          <w:sz w:val="22"/>
          <w:szCs w:val="22"/>
        </w:rPr>
      </w:pPr>
      <w:r>
        <w:rPr>
          <w:sz w:val="22"/>
          <w:szCs w:val="22"/>
        </w:rPr>
        <w:t>b) Suspensão temporária de participar de licitações e impedimento de contratar com a administração municipal, por prazo de até 2 (dois) anos, e,</w:t>
      </w:r>
    </w:p>
    <w:p>
      <w:pPr>
        <w:spacing w:before="0"/>
        <w:jc w:val="both"/>
        <w:tabs defTabSz="708"/>
        <w:rPr>
          <w:sz w:val="22"/>
          <w:szCs w:val="22"/>
        </w:rPr>
      </w:pPr>
      <w:r>
        <w:rPr>
          <w:sz w:val="22"/>
          <w:szCs w:val="22"/>
        </w:rPr>
        <w:t>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na forma da lei.</w:t>
      </w:r>
    </w:p>
    <w:p>
      <w:pPr>
        <w:spacing w:before="0"/>
        <w:jc w:val="both"/>
        <w:tabs defTabSz="708"/>
        <w:rPr>
          <w:sz w:val="22"/>
          <w:szCs w:val="22"/>
        </w:rPr>
      </w:pPr>
      <w:r>
        <w:rPr>
          <w:sz w:val="22"/>
          <w:szCs w:val="22"/>
        </w:rPr>
        <w:t>8.4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pPr>
        <w:spacing w:before="0"/>
        <w:jc w:val="both"/>
        <w:tabs defTabSz="708"/>
        <w:rPr>
          <w:sz w:val="22"/>
          <w:szCs w:val="22"/>
        </w:rPr>
      </w:pPr>
      <w:r>
        <w:rPr>
          <w:sz w:val="22"/>
          <w:szCs w:val="22"/>
        </w:rPr>
        <w:t>8.5 As penalidades previstas neste item têm caráter de sanção administrativa, consequentemente, a sua aplicação não exime a empresa vencedora da reparação das eventuais perdas e danos que seu ato punível venha acarretar à Prefeitura Municipal de São Domingos do Norte/ES.81.6 A falsidade de declaração prestada, em qualquer das declarações exigidas neste Edital, caracterizará o crime de que trata o art. 299 do código penal, além da sanção prevista no item 21.3.3 deste Edital.</w:t>
      </w:r>
    </w:p>
    <w:p>
      <w:pPr>
        <w:spacing w:before="0"/>
        <w:jc w:val="both"/>
        <w:tabs defTabSz="708"/>
        <w:rPr>
          <w:sz w:val="22"/>
          <w:szCs w:val="22"/>
        </w:rPr>
      </w:pPr>
      <w:r>
        <w:rPr>
          <w:sz w:val="22"/>
          <w:szCs w:val="22"/>
        </w:rPr>
        <w:t>8.6. A aplicação da multa de mora não impede que a Administração rescinda unilateralmente o contrato e aplique as outras sanções previstas no item 11.3 desta Ata e na Lei Federal nº. 8.666/93;</w:t>
      </w:r>
    </w:p>
    <w:p>
      <w:pPr>
        <w:spacing w:before="0"/>
        <w:jc w:val="both"/>
        <w:tabs defTabSz="708"/>
        <w:rPr>
          <w:sz w:val="22"/>
          <w:szCs w:val="22"/>
        </w:rPr>
      </w:pPr>
      <w:r>
        <w:rPr>
          <w:sz w:val="22"/>
          <w:szCs w:val="22"/>
        </w:rPr>
        <w:t>8.7 As sanções previstas nas alíneas “a”, “b” e “c” do item 11.3, não são cumulativas entre si, mas poderão ser aplicadas juntamente com a multa compensatória por perdas e danos.</w:t>
      </w:r>
    </w:p>
    <w:p>
      <w:pPr>
        <w:spacing w:before="0"/>
        <w:jc w:val="both"/>
        <w:tabs defTabSz="708"/>
        <w:rPr>
          <w:sz w:val="22"/>
          <w:szCs w:val="22"/>
        </w:rPr>
      </w:pPr>
      <w:r>
        <w:rPr>
          <w:sz w:val="22"/>
          <w:szCs w:val="22"/>
        </w:rPr>
        <w:t>8.8. As sanções administrativas somente serão aplicadas mediante regular processo administrativo, assegurada a ampla defesa e o contraditório, observando-se as seguintes regras:</w:t>
      </w:r>
    </w:p>
    <w:p>
      <w:pPr>
        <w:spacing w:before="0"/>
        <w:jc w:val="both"/>
        <w:tabs defTabSz="708"/>
        <w:rPr>
          <w:sz w:val="22"/>
          <w:szCs w:val="22"/>
        </w:rPr>
      </w:pPr>
      <w:r>
        <w:rPr>
          <w:sz w:val="22"/>
          <w:szCs w:val="22"/>
        </w:rPr>
        <w:t>8.8.1. Antes da aplicação de qualquer sanção administrativa, deverá notificar o licitante contratado, facultando-lhe a apresentação de defesa prévia;</w:t>
      </w:r>
    </w:p>
    <w:p>
      <w:pPr>
        <w:spacing w:before="0"/>
        <w:jc w:val="both"/>
        <w:tabs defTabSz="708"/>
        <w:rPr>
          <w:sz w:val="22"/>
          <w:szCs w:val="22"/>
        </w:rPr>
      </w:pPr>
      <w:r>
        <w:rPr>
          <w:sz w:val="22"/>
          <w:szCs w:val="22"/>
        </w:rPr>
        <w:t>8.8.2.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pPr>
        <w:spacing w:before="0"/>
        <w:jc w:val="both"/>
        <w:tabs defTabSz="708"/>
        <w:rPr>
          <w:sz w:val="22"/>
          <w:szCs w:val="22"/>
        </w:rPr>
      </w:pPr>
      <w:r>
        <w:rPr>
          <w:sz w:val="22"/>
          <w:szCs w:val="22"/>
        </w:rPr>
        <w:t>8.8.3.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pPr>
        <w:spacing w:before="0"/>
        <w:jc w:val="both"/>
        <w:tabs defTabSz="708"/>
        <w:rPr>
          <w:sz w:val="22"/>
          <w:szCs w:val="22"/>
        </w:rPr>
      </w:pPr>
      <w:r>
        <w:rPr>
          <w:sz w:val="22"/>
          <w:szCs w:val="22"/>
        </w:rPr>
        <w:t>8.8.4 O licitante contratado comunicará as mudanças de endereço ocorridas no curso do processo licitatório e da vigência do contrato, considerando-se eficazes as notificações enviadas ao local anteriormente indicado, na ausência da comunicação.</w:t>
      </w:r>
    </w:p>
    <w:p>
      <w:pPr>
        <w:spacing w:before="0"/>
        <w:jc w:val="both"/>
        <w:tabs defTabSz="708"/>
        <w:rPr>
          <w:sz w:val="22"/>
          <w:szCs w:val="22"/>
        </w:rPr>
      </w:pPr>
      <w:r>
        <w:rPr>
          <w:sz w:val="22"/>
          <w:szCs w:val="22"/>
        </w:rPr>
        <w:t>8.8.5. 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pPr>
        <w:spacing w:before="0"/>
        <w:jc w:val="both"/>
        <w:tabs defTabSz="708"/>
        <w:rPr>
          <w:sz w:val="22"/>
          <w:szCs w:val="22"/>
        </w:rPr>
      </w:pPr>
      <w:r>
        <w:rPr>
          <w:sz w:val="22"/>
          <w:szCs w:val="22"/>
        </w:rPr>
        <w:t>8.8.6. O recurso administrativo a que se refere a alínea anterior será submetido à análise da Procuradoria Geral do Município.</w:t>
      </w:r>
    </w:p>
    <w:p>
      <w:pPr>
        <w:spacing w:before="0"/>
        <w:jc w:val="both"/>
        <w:tabs defTabSz="708"/>
        <w:rPr>
          <w:sz w:val="22"/>
          <w:szCs w:val="22"/>
        </w:rPr>
      </w:pPr>
      <w:r>
        <w:rPr>
          <w:sz w:val="22"/>
          <w:szCs w:val="22"/>
        </w:rPr>
        <w:t>8.8.7.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tabs defTabSz="708"/>
        <w:rPr>
          <w:sz w:val="22"/>
          <w:szCs w:val="22"/>
        </w:rPr>
      </w:pPr>
      <w:r>
        <w:rPr>
          <w:sz w:val="22"/>
          <w:szCs w:val="22"/>
        </w:rPr>
        <w:t>8.8.8. Em qualquer caso, se após o desconto dos valores relativos às multas restar valor residual em desfavor do licitante contratado, é obrigatória a cobrança judicial da diferença.</w:t>
      </w:r>
    </w:p>
    <w:p>
      <w:pPr>
        <w:spacing w:before="0"/>
        <w:jc w:val="both"/>
        <w:tabs defTabSz="708"/>
        <w:rPr>
          <w:b/>
          <w:color w:val="000000"/>
          <w:sz w:val="22"/>
          <w:szCs w:val="22"/>
        </w:rPr>
      </w:pPr>
      <w:r>
        <w:rPr>
          <w:b/>
          <w:color w:val="000000"/>
          <w:sz w:val="22"/>
          <w:szCs w:val="22"/>
        </w:rPr>
        <w:t>CLÁUSULA NONA - DO ACOMPANHAMENTO E DA FISCALIZAÇÃO</w:t>
      </w:r>
    </w:p>
    <w:p>
      <w:pPr>
        <w:spacing w:before="0"/>
        <w:jc w:val="both"/>
        <w:tabs defTabSz="708"/>
        <w:rPr>
          <w:color w:val="000000"/>
          <w:sz w:val="22"/>
          <w:szCs w:val="22"/>
        </w:rPr>
      </w:pPr>
      <w:r>
        <w:rPr>
          <w:color w:val="000000"/>
          <w:sz w:val="22"/>
          <w:szCs w:val="22"/>
        </w:rPr>
        <w:t xml:space="preserve">9.1. A execução do contrato será acompanhada pela </w:t>
      </w:r>
      <w:r>
        <w:rPr>
          <w:b/>
          <w:color w:val="000000"/>
          <w:sz w:val="22"/>
          <w:szCs w:val="22"/>
        </w:rPr>
        <w:t>servidor Marcos Paulo Schifler,</w:t>
      </w:r>
      <w:r>
        <w:rPr>
          <w:color w:val="000000"/>
          <w:sz w:val="22"/>
          <w:szCs w:val="22"/>
        </w:rPr>
        <w:t xml:space="preserve"> designado representante da Administração nos termos do art. 67 da Lei nº 8.666/93, que deverá atestar a execução do objeto contratado, observadas as disposições deste Contrato, sem o que não será permitido qualquer pagamento.</w:t>
      </w:r>
    </w:p>
    <w:p>
      <w:pPr>
        <w:pStyle w:val="para37"/>
        <w:spacing w:before="0"/>
        <w:jc w:val="both"/>
        <w:tabs defTabSz="708"/>
        <w:rPr>
          <w:rFonts w:ascii="Times New Roman" w:hAnsi="Times New Roman" w:eastAsia="Times New Roman"/>
          <w:b/>
          <w:color w:val="000000"/>
        </w:rPr>
      </w:pPr>
      <w:r>
        <w:rPr>
          <w:rFonts w:ascii="Times New Roman" w:hAnsi="Times New Roman" w:eastAsia="Times New Roman"/>
          <w:b/>
          <w:color w:val="000000"/>
        </w:rPr>
        <w:t>CLAUSULA DÉCIMA – DISPOSIÇÕES FINAIS</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10.1. O presente instrumento contratual vincula-se aos termos do edital Pregão Presencial nº 03/2020 - SRP e seus anexos bem como a proposta ofertada (ART. 55, XI – LEI 8.666/93).</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10.3. As partes elegem o Foro da Comarca de São Domingos do Norte/ES para dirimir qualquer dúvida decorrente do presente contrato, com renuncia a qualquer outro, por mais especial que seja (ART. 55, §2˚ – LEI 8.666/93).</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r>
    </w:p>
    <w:p>
      <w:pPr>
        <w:pStyle w:val="para37"/>
        <w:spacing w:before="0"/>
        <w:tabs defTabSz="708"/>
        <w:rPr>
          <w:rFonts w:ascii="Times New Roman" w:hAnsi="Times New Roman" w:eastAsia="Times New Roman"/>
          <w:color w:val="000000"/>
        </w:rPr>
      </w:pPr>
      <w:r>
        <w:rPr>
          <w:rFonts w:ascii="Times New Roman" w:hAnsi="Times New Roman" w:eastAsia="Times New Roman"/>
          <w:color w:val="000000"/>
        </w:rPr>
        <w:t>São Domingos do Norte, em ........ de ................ de  2020.</w:t>
      </w:r>
    </w:p>
    <w:p>
      <w:pPr>
        <w:pStyle w:val="para37"/>
        <w:spacing w:before="0"/>
        <w:tabs defTabSz="708"/>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tabs defTabSz="708"/>
        <w:rPr>
          <w:rFonts w:ascii="Times New Roman" w:hAnsi="Times New Roman" w:eastAsia="Times New Roman"/>
          <w:b/>
          <w:color w:val="000000"/>
        </w:rPr>
      </w:pPr>
      <w:r>
        <w:rPr>
          <w:rFonts w:ascii="Times New Roman" w:hAnsi="Times New Roman" w:eastAsia="Times New Roman"/>
          <w:color w:val="000000"/>
        </w:rPr>
        <w:t xml:space="preserve">    </w:t>
      </w:r>
      <w:r>
        <w:rPr>
          <w:rFonts w:ascii="Times New Roman" w:hAnsi="Times New Roman" w:eastAsia="Times New Roman"/>
          <w:b/>
          <w:color w:val="000000"/>
        </w:rPr>
        <w:t xml:space="preserve">Pedro Amarildo </w:t>
      </w:r>
      <w:r>
        <w:rPr>
          <w:rFonts w:ascii="Times New Roman" w:hAnsi="Times New Roman" w:eastAsia="Times New Roman"/>
          <w:b/>
          <w:color w:val="000000"/>
        </w:rPr>
        <w:t>Dalmonte</w:t>
      </w:r>
      <w:r>
        <w:rPr>
          <w:rFonts w:ascii="Times New Roman" w:hAnsi="Times New Roman" w:eastAsia="Times New Roman"/>
          <w:b/>
          <w:color w:val="000000"/>
        </w:rPr>
        <w:t xml:space="preserve">                                                                       CONTRATADA</w:t>
      </w:r>
      <w:r>
        <w:rPr>
          <w:rFonts w:ascii="Times New Roman" w:hAnsi="Times New Roman" w:eastAsia="Times New Roman"/>
          <w:b/>
          <w:color w:val="000000"/>
        </w:rPr>
      </w:r>
    </w:p>
    <w:p>
      <w:pPr>
        <w:pStyle w:val="para37"/>
        <w:spacing w:before="0"/>
        <w:jc w:val="both"/>
        <w:tabs defTabSz="708"/>
        <w:rPr>
          <w:rFonts w:ascii="Times New Roman" w:hAnsi="Times New Roman" w:eastAsia="Times New Roman"/>
          <w:b/>
          <w:color w:val="000000"/>
        </w:rPr>
      </w:pPr>
      <w:r>
        <w:rPr>
          <w:rFonts w:ascii="Times New Roman" w:hAnsi="Times New Roman" w:eastAsia="Times New Roman"/>
          <w:b/>
          <w:color w:val="000000"/>
        </w:rPr>
        <w:t xml:space="preserve">      Prefeito Municipal</w:t>
      </w:r>
    </w:p>
    <w:p>
      <w:pPr>
        <w:pStyle w:val="para37"/>
        <w:spacing w:before="0"/>
        <w:jc w:val="both"/>
        <w:tabs defTabSz="708"/>
        <w:rPr>
          <w:rFonts w:ascii="Times New Roman" w:hAnsi="Times New Roman" w:eastAsia="Times New Roman"/>
          <w:b/>
          <w:color w:val="000000"/>
        </w:rPr>
      </w:pPr>
      <w:r>
        <w:rPr>
          <w:rFonts w:ascii="Times New Roman" w:hAnsi="Times New Roman" w:eastAsia="Times New Roman"/>
          <w:b/>
          <w:color w:val="000000"/>
        </w:rPr>
        <w:t xml:space="preserve">        CONTRATANTE</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Testemunhas:</w:t>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tabs defTabSz="708"/>
        <w:rPr>
          <w:rFonts w:ascii="Times New Roman" w:hAnsi="Times New Roman" w:eastAsia="Times New Roman"/>
          <w:color w:val="000000"/>
        </w:rPr>
      </w:pPr>
      <w:r>
        <w:rPr>
          <w:rFonts w:ascii="Times New Roman" w:hAnsi="Times New Roman" w:eastAsia="Times New Roman"/>
          <w:color w:val="000000"/>
        </w:rPr>
        <w:t>a)_____________________________                                                    b)____________________________</w:t>
      </w:r>
    </w:p>
    <w:p>
      <w:pPr>
        <w:spacing/>
        <w:jc w:val="both"/>
        <w:rPr>
          <w:b/>
          <w:iCs/>
          <w:color w:val="000000"/>
          <w:sz w:val="22"/>
          <w:szCs w:val="22"/>
        </w:rPr>
      </w:pPr>
      <w:r>
        <w:rPr>
          <w:b/>
          <w:iCs/>
          <w:color w:val="000000"/>
          <w:sz w:val="22"/>
          <w:szCs w:val="22"/>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spacing w:before="0"/>
        <w:jc w:val="both"/>
        <w:rPr>
          <w:b/>
          <w:iCs/>
          <w:color w:val="000000"/>
          <w:sz w:val="22"/>
          <w:szCs w:val="22"/>
          <w:u w:color="auto" w:val="single"/>
        </w:rPr>
      </w:pPr>
      <w:r>
        <w:rPr>
          <w:b/>
          <w:iCs/>
          <w:color w:val="000000"/>
          <w:sz w:val="22"/>
          <w:szCs w:val="22"/>
          <w:u w:color="auto" w:val="single"/>
        </w:rPr>
      </w:r>
    </w:p>
    <w:p>
      <w:pPr>
        <w:rPr>
          <w:b/>
          <w:iCs/>
          <w:sz w:val="22"/>
          <w:szCs w:val="22"/>
        </w:rPr>
      </w:pPr>
      <w:r>
        <w:rPr>
          <w:b/>
          <w:iCs/>
          <w:sz w:val="22"/>
          <w:szCs w:val="22"/>
        </w:rPr>
        <w:t>ANEXO XI</w:t>
      </w:r>
    </w:p>
    <w:p>
      <w:pPr>
        <w:rPr>
          <w:b/>
          <w:iCs/>
          <w:sz w:val="22"/>
          <w:szCs w:val="22"/>
        </w:rPr>
      </w:pPr>
      <w:r>
        <w:rPr>
          <w:b/>
          <w:iCs/>
          <w:sz w:val="22"/>
          <w:szCs w:val="22"/>
        </w:rPr>
      </w:r>
    </w:p>
    <w:p>
      <w:pPr>
        <w:rPr>
          <w:sz w:val="22"/>
          <w:szCs w:val="22"/>
        </w:rPr>
      </w:pPr>
      <w:r>
        <w:rPr>
          <w:sz w:val="22"/>
          <w:szCs w:val="22"/>
        </w:rPr>
        <w:t>DECLARAÇÃO DE IDONEIDADE</w:t>
      </w:r>
    </w:p>
    <w:p>
      <w:pPr>
        <w:rPr>
          <w:sz w:val="22"/>
          <w:szCs w:val="22"/>
        </w:rPr>
      </w:pPr>
      <w:r>
        <w:rPr>
          <w:sz w:val="22"/>
          <w:szCs w:val="22"/>
        </w:rPr>
      </w:r>
    </w:p>
    <w:p>
      <w:pPr>
        <w:rPr>
          <w:sz w:val="22"/>
          <w:szCs w:val="22"/>
        </w:rPr>
      </w:pPr>
      <w:r>
        <w:rPr>
          <w:sz w:val="22"/>
          <w:szCs w:val="22"/>
        </w:rPr>
        <w:t>(Utilizar papel timbrado da empresa licitante)</w:t>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t>PREGÃO PRESENCIAL Nº 03/2020 - SRP.</w:t>
      </w:r>
    </w:p>
    <w:p>
      <w:pPr>
        <w:rPr>
          <w:sz w:val="22"/>
          <w:szCs w:val="22"/>
        </w:rPr>
      </w:pPr>
      <w:r>
        <w:rPr>
          <w:sz w:val="22"/>
          <w:szCs w:val="22"/>
        </w:rPr>
      </w:r>
    </w:p>
    <w:p>
      <w:pPr>
        <w:rPr>
          <w:sz w:val="22"/>
          <w:szCs w:val="22"/>
        </w:rPr>
      </w:pPr>
      <w:r>
        <w:rPr>
          <w:sz w:val="22"/>
          <w:szCs w:val="22"/>
        </w:rPr>
        <w:t>RAZÃO SOCIAL:</w:t>
      </w:r>
    </w:p>
    <w:p>
      <w:pPr>
        <w:rPr>
          <w:sz w:val="22"/>
          <w:szCs w:val="22"/>
        </w:rPr>
      </w:pPr>
      <w:r>
        <w:rPr>
          <w:sz w:val="22"/>
          <w:szCs w:val="22"/>
        </w:rPr>
        <w:t>CNPJ:</w:t>
      </w:r>
    </w:p>
    <w:p>
      <w:pPr>
        <w:rPr>
          <w:sz w:val="22"/>
          <w:szCs w:val="22"/>
        </w:rPr>
      </w:pPr>
      <w:r>
        <w:rPr>
          <w:sz w:val="22"/>
          <w:szCs w:val="22"/>
        </w:rPr>
      </w:r>
    </w:p>
    <w:p>
      <w:pPr>
        <w:rPr>
          <w:sz w:val="22"/>
          <w:szCs w:val="22"/>
        </w:rPr>
      </w:pPr>
      <w:r>
        <w:rPr>
          <w:sz w:val="22"/>
          <w:szCs w:val="22"/>
        </w:rPr>
      </w:r>
    </w:p>
    <w:p>
      <w:pPr>
        <w:spacing/>
        <w:jc w:val="both"/>
        <w:rPr>
          <w:sz w:val="22"/>
          <w:szCs w:val="22"/>
        </w:rPr>
      </w:pPr>
      <w:r>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02/2020 - SRP, que a empresa citada acima  NÃO se encontra declarada inidônea para licitar ou contratar com órgãos da Administração Pública Federal, Estadual, Municipal e do Distrito Federal.</w:t>
      </w:r>
    </w:p>
    <w:p>
      <w:pPr>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_______________________, _____ de ____________________ de 2020.</w:t>
      </w:r>
    </w:p>
    <w:p>
      <w:pPr>
        <w:spacing/>
        <w:jc w:val="both"/>
        <w:rPr>
          <w:sz w:val="22"/>
          <w:szCs w:val="22"/>
        </w:rPr>
      </w:pPr>
      <w:r>
        <w:rPr>
          <w:sz w:val="22"/>
          <w:szCs w:val="22"/>
        </w:rPr>
      </w:r>
    </w:p>
    <w:p>
      <w:pPr>
        <w:spacing/>
        <w:jc w:val="both"/>
        <w:rPr>
          <w:sz w:val="22"/>
          <w:szCs w:val="22"/>
        </w:rPr>
      </w:pPr>
      <w:r>
        <w:rPr>
          <w:sz w:val="22"/>
          <w:szCs w:val="22"/>
        </w:rPr>
      </w:r>
    </w:p>
    <w:p>
      <w:pPr>
        <w:rPr>
          <w:sz w:val="22"/>
          <w:szCs w:val="22"/>
        </w:rPr>
      </w:pPr>
      <w:r>
        <w:rPr>
          <w:sz w:val="22"/>
          <w:szCs w:val="22"/>
        </w:rPr>
        <w:tab/>
        <w:tab/>
        <w:t>(Nome completo por extenso do responsável pela Pessoa Jurídica)</w:t>
      </w:r>
    </w:p>
    <w:p>
      <w:pPr>
        <w:rPr>
          <w:sz w:val="22"/>
          <w:szCs w:val="22"/>
        </w:rPr>
      </w:pPr>
      <w:r>
        <w:rPr>
          <w:sz w:val="22"/>
          <w:szCs w:val="22"/>
        </w:rPr>
        <w:t xml:space="preserve">                        (assinatura e carimbo do CNPJ)</w:t>
      </w:r>
    </w:p>
    <w:p>
      <w:pPr>
        <w:spacing/>
        <w:jc w:val="both"/>
        <w:rPr>
          <w:sz w:val="22"/>
          <w:szCs w:val="22"/>
        </w:rPr>
      </w:pPr>
      <w:r>
        <w:rPr>
          <w:sz w:val="22"/>
          <w:szCs w:val="22"/>
        </w:rPr>
      </w:r>
    </w:p>
    <w:p>
      <w:pPr>
        <w:spacing/>
        <w:jc w:val="both"/>
        <w:rPr>
          <w:b/>
          <w:sz w:val="22"/>
          <w:szCs w:val="22"/>
        </w:rPr>
      </w:pPr>
      <w:r>
        <w:rPr>
          <w:b/>
          <w:sz w:val="22"/>
          <w:szCs w:val="22"/>
        </w:rPr>
        <w:t>* Apresentar na habilitação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rPr>
          <w:b/>
          <w:sz w:val="22"/>
          <w:szCs w:val="22"/>
        </w:rPr>
      </w:pPr>
      <w:r>
        <w:rPr>
          <w:b/>
          <w:sz w:val="22"/>
          <w:szCs w:val="22"/>
        </w:rPr>
      </w:r>
    </w:p>
    <w:p>
      <w:pPr>
        <w:rPr>
          <w:b/>
          <w:sz w:val="22"/>
          <w:szCs w:val="22"/>
        </w:rPr>
      </w:pPr>
      <w:r>
        <w:rPr>
          <w:b/>
          <w:sz w:val="22"/>
          <w:szCs w:val="22"/>
        </w:rPr>
        <w:t>ANEXO XII</w:t>
      </w:r>
    </w:p>
    <w:p>
      <w:pPr>
        <w:rPr>
          <w:sz w:val="22"/>
          <w:szCs w:val="22"/>
        </w:rPr>
      </w:pPr>
      <w:r>
        <w:rPr>
          <w:sz w:val="22"/>
          <w:szCs w:val="22"/>
        </w:rPr>
        <w:t>DECLARAÇÃO PARA MICROEMPRESA E EMPRESA DE PEQUENO PORTE</w:t>
      </w:r>
    </w:p>
    <w:p>
      <w:pPr>
        <w:rPr>
          <w:sz w:val="22"/>
          <w:szCs w:val="22"/>
        </w:rPr>
      </w:pPr>
      <w:r>
        <w:rPr>
          <w:sz w:val="22"/>
          <w:szCs w:val="22"/>
        </w:rPr>
      </w:r>
    </w:p>
    <w:p>
      <w:pPr>
        <w:rPr>
          <w:sz w:val="22"/>
          <w:szCs w:val="22"/>
        </w:rPr>
      </w:pPr>
      <w:r>
        <w:rPr>
          <w:sz w:val="22"/>
          <w:szCs w:val="22"/>
        </w:rPr>
      </w:r>
    </w:p>
    <w:p>
      <w:pPr>
        <w:rPr>
          <w:sz w:val="22"/>
          <w:szCs w:val="22"/>
        </w:rPr>
      </w:pPr>
      <w:r>
        <w:rPr>
          <w:sz w:val="22"/>
          <w:szCs w:val="22"/>
        </w:rPr>
        <w:t>(Utilizar, papel timbrado da empresa licitante)</w:t>
      </w:r>
    </w:p>
    <w:p>
      <w:pPr>
        <w:rPr>
          <w:sz w:val="22"/>
          <w:szCs w:val="22"/>
        </w:rPr>
      </w:pPr>
      <w:r>
        <w:rPr>
          <w:sz w:val="22"/>
          <w:szCs w:val="22"/>
        </w:rPr>
      </w:r>
    </w:p>
    <w:p>
      <w:pPr>
        <w:rPr>
          <w:sz w:val="22"/>
          <w:szCs w:val="22"/>
        </w:rPr>
      </w:pPr>
      <w:r>
        <w:rPr>
          <w:sz w:val="22"/>
          <w:szCs w:val="22"/>
        </w:rPr>
      </w:r>
    </w:p>
    <w:p>
      <w:pPr>
        <w:rPr>
          <w:sz w:val="22"/>
          <w:szCs w:val="22"/>
        </w:rPr>
      </w:pPr>
      <w:r>
        <w:rPr>
          <w:sz w:val="22"/>
          <w:szCs w:val="22"/>
        </w:rPr>
        <w:t>PREGÃO PRESENCIAL Nº 03/2020 - SRP.</w:t>
      </w:r>
    </w:p>
    <w:p>
      <w:pPr>
        <w:rPr>
          <w:sz w:val="22"/>
          <w:szCs w:val="22"/>
        </w:rPr>
      </w:pPr>
      <w:r>
        <w:rPr>
          <w:sz w:val="22"/>
          <w:szCs w:val="22"/>
        </w:rPr>
      </w:r>
    </w:p>
    <w:p>
      <w:pPr>
        <w:rPr>
          <w:sz w:val="22"/>
          <w:szCs w:val="22"/>
        </w:rPr>
      </w:pPr>
      <w:r>
        <w:rPr>
          <w:sz w:val="22"/>
          <w:szCs w:val="22"/>
        </w:rPr>
        <w:t>RAZÃO SOCIAL:</w:t>
      </w:r>
    </w:p>
    <w:p>
      <w:pPr>
        <w:rPr>
          <w:sz w:val="22"/>
          <w:szCs w:val="22"/>
        </w:rPr>
      </w:pPr>
      <w:r>
        <w:rPr>
          <w:sz w:val="22"/>
          <w:szCs w:val="22"/>
        </w:rPr>
        <w:t>CNPJ:</w:t>
      </w:r>
    </w:p>
    <w:p>
      <w:pPr>
        <w:rPr>
          <w:sz w:val="22"/>
          <w:szCs w:val="22"/>
        </w:rPr>
      </w:pPr>
      <w:r>
        <w:rPr>
          <w:sz w:val="22"/>
          <w:szCs w:val="22"/>
        </w:rPr>
      </w:r>
    </w:p>
    <w:p>
      <w:pPr>
        <w:spacing/>
        <w:jc w:val="both"/>
        <w:rPr>
          <w:sz w:val="22"/>
          <w:szCs w:val="22"/>
        </w:rPr>
      </w:pPr>
      <w:r>
        <w:rPr>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pPr>
        <w:spacing/>
        <w:jc w:val="both"/>
        <w:rPr>
          <w:sz w:val="22"/>
          <w:szCs w:val="22"/>
        </w:rPr>
      </w:pPr>
      <w:r>
        <w:rPr>
          <w:sz w:val="22"/>
          <w:szCs w:val="22"/>
        </w:rPr>
      </w:r>
    </w:p>
    <w:p>
      <w:pPr>
        <w:rPr>
          <w:sz w:val="22"/>
          <w:szCs w:val="22"/>
        </w:rPr>
      </w:pPr>
      <w:r>
        <w:rPr>
          <w:sz w:val="22"/>
          <w:szCs w:val="22"/>
        </w:rPr>
        <w:t xml:space="preserve"> </w:t>
      </w:r>
    </w:p>
    <w:p>
      <w:pPr>
        <w:rPr>
          <w:sz w:val="22"/>
          <w:szCs w:val="22"/>
        </w:rPr>
      </w:pPr>
      <w:r>
        <w:rPr>
          <w:sz w:val="22"/>
          <w:szCs w:val="22"/>
        </w:rPr>
        <w:t>_________________________, _____ de _________________ de 2020.</w:t>
      </w:r>
    </w:p>
    <w:p>
      <w:pPr>
        <w:rPr>
          <w:sz w:val="22"/>
          <w:szCs w:val="22"/>
        </w:rPr>
      </w:pPr>
      <w:r>
        <w:rPr>
          <w:sz w:val="22"/>
          <w:szCs w:val="22"/>
        </w:rPr>
      </w:r>
    </w:p>
    <w:p>
      <w:pPr>
        <w:rPr>
          <w:sz w:val="22"/>
          <w:szCs w:val="22"/>
        </w:rPr>
      </w:pPr>
      <w:r>
        <w:rPr>
          <w:sz w:val="22"/>
          <w:szCs w:val="22"/>
        </w:rPr>
        <w:tab/>
        <w:tab/>
      </w:r>
    </w:p>
    <w:p>
      <w:pPr>
        <w:rPr>
          <w:sz w:val="22"/>
          <w:szCs w:val="22"/>
        </w:rPr>
      </w:pPr>
      <w:r>
        <w:rPr>
          <w:sz w:val="22"/>
          <w:szCs w:val="22"/>
        </w:rPr>
        <w:t>(Nome completo por extenso do responsável pela Pessoa Jurídica)</w:t>
      </w:r>
    </w:p>
    <w:p>
      <w:pPr>
        <w:rPr>
          <w:sz w:val="22"/>
          <w:szCs w:val="22"/>
        </w:rPr>
      </w:pPr>
      <w:r>
        <w:rPr>
          <w:sz w:val="22"/>
          <w:szCs w:val="22"/>
        </w:rPr>
      </w:r>
    </w:p>
    <w:p>
      <w:pPr>
        <w:rPr>
          <w:sz w:val="22"/>
          <w:szCs w:val="22"/>
        </w:rPr>
      </w:pPr>
      <w:r>
        <w:rPr>
          <w:sz w:val="22"/>
          <w:szCs w:val="22"/>
        </w:rPr>
        <w:t>(assinatura e carimbo do CNPJ)</w:t>
      </w:r>
    </w:p>
    <w:p>
      <w:pPr>
        <w:rPr>
          <w:sz w:val="22"/>
          <w:szCs w:val="22"/>
        </w:rPr>
      </w:pPr>
      <w:r>
        <w:rPr>
          <w:sz w:val="22"/>
          <w:szCs w:val="22"/>
        </w:rPr>
      </w:r>
    </w:p>
    <w:p>
      <w:pPr>
        <w:ind w:left="360"/>
        <w:rPr>
          <w:sz w:val="22"/>
          <w:szCs w:val="22"/>
        </w:rPr>
      </w:pPr>
      <w:r>
        <w:rPr>
          <w:b/>
          <w:sz w:val="22"/>
          <w:szCs w:val="22"/>
        </w:rPr>
        <w:t>* Apresentar no credenciamento para as empresas que forem ME e EPP’s</w:t>
      </w:r>
      <w:r>
        <w:rPr>
          <w:sz w:val="22"/>
          <w:szCs w:val="22"/>
        </w:rPr>
        <w:t>.</w:t>
      </w:r>
    </w:p>
    <w:sectPr>
      <w:footnotePr>
        <w:pos w:val="pageBottom"/>
        <w:numFmt w:val="decimal"/>
        <w:numStart w:val="1"/>
        <w:numRestart w:val="continuous"/>
      </w:footnotePr>
      <w:endnotePr>
        <w:pos w:val="docEnd"/>
        <w:numFmt w:val="decimal"/>
        <w:numStart w:val="1"/>
        <w:numRestart w:val="continuous"/>
      </w:endnotePr>
      <w:headerReference w:type="default" r:id="rId9"/>
      <w:footerReference w:type="default" r:id="rId10"/>
      <w:type w:val="nextPage"/>
      <w:pgSz w:h="16840" w:w="11907"/>
      <w:pgMar w:left="1134" w:top="1701" w:right="1134" w:bottom="1661"/>
      <w:paperSrc w:first="7" w:other="7" a="0" b="0"/>
      <w:pgNumType w:fmt="decimal"/>
      <w:tmGutter w:val="3"/>
      <w:mirrorMargins w:val="0"/>
      <w:tmSection w:h="-2">
        <w:tmHeader w:id="0" w:h="0" edge="720" text="0">
          <w:shd w:val="none"/>
        </w:tmHeader>
        <w:tmFooter w:id="0" w:h="0" edge="72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Times New (W1)">
    <w:panose1 w:val="02020603050405020304"/>
    <w:charset w:val="00"/>
    <w:family w:val="roman"/>
    <w:pitch w:val="default"/>
  </w:font>
  <w:font w:name="Tahoma">
    <w:panose1 w:val="020B0604030504040204"/>
    <w:charset w:val="00"/>
    <w:family w:val="swiss"/>
    <w:pitch w:val="default"/>
  </w:font>
  <w:font w:name="Calibri">
    <w:panose1 w:val="020F0502020204030204"/>
    <w:charset w:val="00"/>
    <w:family w:val="swiss"/>
    <w:pitch w:val="default"/>
  </w:font>
  <w:font w:name="¹Å">
    <w:panose1 w:val="02020603050405020304"/>
    <w:charset w:val="00"/>
    <w:family w:val="roman"/>
    <w:pitch w:val="default"/>
  </w:font>
  <w:font w:name="Batang">
    <w:panose1 w:val="02020500000000000000"/>
    <w:charset w:val="81"/>
    <w:family w:val="roman"/>
    <w:pitch w:val="default"/>
  </w:font>
  <w:font w:name="BookmanOldStyle">
    <w:panose1 w:val="02000000000000000000"/>
    <w:charset w:val="81"/>
    <w:family w:val="auto"/>
    <w:pitch w:val="default"/>
  </w:font>
  <w:font w:name="Algerian">
    <w:panose1 w:val="04020705040A02060702"/>
    <w:charset w:val="00"/>
    <w:family w:val="decorative"/>
    <w:pitch w:val="default"/>
  </w:font>
  <w:font w:name="Cambria">
    <w:panose1 w:val="02040503050406030204"/>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6"/>
      <w:ind w:right="360"/>
    </w:pPr>
    <w:r>
      <w:rPr>
        <w:noProof/>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14300" cy="221615"/>
              <wp:effectExtent l="0" t="0" r="0" b="0"/>
              <wp:wrapSquare wrapText="bothSides"/>
              <wp:docPr id="1" name="CaixaTexto 1"/>
              <wp:cNvGraphicFramePr/>
              <a:graphic xmlns:a="http://schemas.openxmlformats.org/drawingml/2006/main">
                <a:graphicData uri="http://schemas.microsoft.com/office/word/2010/wordprocessingShape">
                  <wps:wsp>
                    <wps:cNvSpPr txBox="1">
                      <a:extLst>
                        <a:ext uri="smNativeData">
                          <sm:smNativeData xmlns:sm="smNativeData" val="SMDATA_12_G1oXXhMAAAAlAAAAEgAAAE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a:ext>
                      </a:extLst>
                    </wps:cNvSpPr>
                    <wps:spPr>
                      <a:xfrm>
                        <a:off x="0" y="0"/>
                        <a:ext cx="114300" cy="221615"/>
                      </a:xfrm>
                      <a:prstGeom prst="rect">
                        <a:avLst/>
                      </a:prstGeom>
                      <a:noFill/>
                      <a:ln w="12700">
                        <a:noFill/>
                      </a:ln>
                    </wps:spPr>
                    <wps:txbx>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2</w:t>
                            <w:fldChar w:fldCharType="end"/>
                          </w:r>
                          <w:r>
                            <w:rPr>
                              <w:rStyle w:val="char1"/>
                              <w:color w:val="ffffff"/>
                            </w:rPr>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path gradientshapeok="t" o:connecttype="rect"/>
            </v:shapetype>
            <v:shape id="CaixaTexto 1" o:spid="_x0000_s3073" type="#_x0000_t202" style="position:absolute;mso-position-horizontal:right;margin-top:0.05pt;mso-position-horizontal-relative:margin;width:9.00pt;height:17.45pt;z-index:251658241;mso-wrap-distance-left:0.00pt;mso-wrap-distance-top:0.00pt;mso-wrap-distance-right:0.00pt;mso-wrap-distance-bottom:0.00pt;mso-wrap-style:none" stroked="f" filled="f" v:ext="SMDATA_12_G1oXXhMAAAAlAAAAEgAAAE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o:insetmode="custom">
              <w10:wrap type="square" anchorx="margin" anchory="text"/>
              <v:textbox style="mso-fit-shape-to-text:t" inset="0.0pt,0.0pt,0.0pt,0.0pt">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2</w:t>
                      <w:fldChar w:fldCharType="end"/>
                    </w:r>
                    <w:r>
                      <w:rPr>
                        <w:rStyle w:val="char1"/>
                        <w:color w:val="ffffff"/>
                      </w:rPr>
                    </w:r>
                  </w:p>
                </w:txbxContent>
              </v:textbox>
            </v:shape>
          </w:pict>
        </mc:Fallback>
      </mc:AlternateContent>
    </w: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5"/>
    </w:pPr>
    <w:r>
      <w:rPr>
        <w:noProof/>
      </w:rPr>
      <w:drawing>
        <wp:anchor distT="0" distB="0" distL="114300" distR="114300" simplePos="0" relativeHeight="251658242" behindDoc="0" locked="0" layoutInCell="0" hidden="0" allowOverlap="1">
          <wp:simplePos x="0" y="0"/>
          <wp:positionH relativeFrom="column">
            <wp:posOffset>2756535</wp:posOffset>
          </wp:positionH>
          <wp:positionV relativeFrom="paragraph">
            <wp:posOffset>-142875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val="SMDATA_14_G1oXXh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PUQAAAAAAAAAgAAAB////+SBAAAsQMAAAAAAABjFQAA7wEAACgAAAAIAAAAAQAAAAE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r/>
  </w:p>
  <w:p>
    <w:pPr>
      <w:pStyle w:val="para15"/>
    </w:pPr>
    <w:r/>
  </w:p>
  <w:p>
    <w:pPr>
      <w:pStyle w:val="para3"/>
      <w:ind w:left="0"/>
      <w:spacing w:before="0"/>
      <w:jc w:val="center"/>
      <w:tabs defTabSz="709">
        <w:tab w:val="left" w:pos="1245" w:leader="none"/>
        <w:tab w:val="center" w:pos="4712" w:leader="none"/>
      </w:tabs>
      <w:rPr>
        <w:rFonts w:ascii="Algerian" w:hAnsi="Algerian"/>
      </w:rPr>
    </w:pPr>
    <w:r>
      <w:t>Prefeitura Municipal de São Domingos do Norte</w:t>
    </w:r>
    <w:r>
      <w:rPr>
        <w:rFonts w:ascii="Algerian" w:hAnsi="Algerian"/>
      </w:rPr>
    </w:r>
  </w:p>
  <w:p>
    <w:pPr>
      <w:spacing w:before="0"/>
      <w:rPr>
        <w:color w:val="000000"/>
        <w:sz w:val="22"/>
      </w:rPr>
    </w:pPr>
    <w:r>
      <w:rPr>
        <w:color w:val="000000"/>
      </w:rPr>
      <w:t>Rod. Gether Lopes de Farias, s/nº - Bairro Emílio Calegari - São Domingos do Norte/ES - CEP 29745-000</w:t>
    </w:r>
    <w:r>
      <w:rPr>
        <w:color w:val="000000"/>
        <w:sz w:val="22"/>
      </w:rPr>
    </w:r>
  </w:p>
  <w:p>
    <w:pPr>
      <w:spacing w:before="0"/>
      <w:rPr>
        <w:color w:val="000000"/>
      </w:rPr>
    </w:pPr>
    <w:r>
      <w:rPr>
        <w:color w:val="000000"/>
      </w:rPr>
      <w:t>Telefone/Telefax: (027) 3742 0200   -   CNPJ 36.350.312/0001-72</w:t>
    </w:r>
  </w:p>
  <w:p>
    <w:pPr>
      <w:spacing w:before="0"/>
      <w:rPr>
        <w:color w:val="000000"/>
      </w:rPr>
    </w:pPr>
    <w:r>
      <w:rPr>
        <w:color w:val="000000"/>
      </w:r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2">
    <w:multiLevelType w:val="hybridMultilevel"/>
    <w:name w:val="Lista numerada 2"/>
    <w:lvl w:ilvl="0">
      <w:start w:val="1"/>
      <w:numFmt w:val="upperRoman"/>
      <w:pStyle w:val="para40"/>
      <w:suff w:val="tab"/>
      <w:lvlText w:val="%1."/>
      <w:lvlJc w:val="left"/>
      <w:pPr>
        <w:ind w:left="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
    <w:multiLevelType w:val="hybridMultilevel"/>
    <w:name w:val="Lista numerada 3"/>
    <w:lvl w:ilvl="0">
      <w:start w:val="1"/>
      <w:numFmt w:val="decimal"/>
      <w:suff w:val="tab"/>
      <w:lvlText w:val="%1."/>
      <w:lvlJc w:val="left"/>
      <w:pPr>
        <w:ind w:left="0" w:hanging="0"/>
      </w:pPr>
    </w:lvl>
    <w:lvl w:ilvl="1">
      <w:start w:val="5"/>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4">
    <w:multiLevelType w:val="hybridMultilevel"/>
    <w:name w:val="Lista numerada 4"/>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5">
    <w:multiLevelType w:val="hybridMultilevel"/>
    <w:name w:val="Lista numerada 5"/>
    <w:lvl w:ilvl="0">
      <w:start w:val="9"/>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6">
    <w:multiLevelType w:val="hybridMultilevel"/>
    <w:name w:val="Lista numerada 6"/>
    <w:lvl w:ilvl="0">
      <w:numFmt w:val="bullet"/>
      <w:suff w:val="tab"/>
      <w:lvlText w:val=""/>
      <w:lvlJc w:val="left"/>
      <w:pPr>
        <w:ind w:left="426"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7">
    <w:multiLevelType w:val="hybridMultilevel"/>
    <w:name w:val="Lista numerada 7"/>
    <w:lvl w:ilvl="0">
      <w:start w:val="1"/>
      <w:numFmt w:val="decimal"/>
      <w:suff w:val="tab"/>
      <w:lvlText w:val="%1."/>
      <w:lvlJc w:val="left"/>
      <w:pPr>
        <w:ind w:left="0" w:hanging="0"/>
      </w:pPr>
      <w:rPr>
        <w:b/>
      </w:rPr>
    </w:lvl>
    <w:lvl w:ilvl="1">
      <w:start w:val="1"/>
      <w:numFmt w:val="decimal"/>
      <w:suff w:val="tab"/>
      <w:lvlText w:val="%1.%2."/>
      <w:lvlJc w:val="left"/>
      <w:pPr>
        <w:ind w:left="0" w:hanging="0"/>
      </w:pPr>
      <w:rPr>
        <w:b/>
      </w:rPr>
    </w:lvl>
    <w:lvl w:ilvl="2">
      <w:start w:val="1"/>
      <w:numFmt w:val="decimal"/>
      <w:suff w:val="tab"/>
      <w:lvlText w:val="%1.%2.%3."/>
      <w:lvlJc w:val="left"/>
      <w:pPr>
        <w:ind w:left="0" w:hanging="0"/>
      </w:pPr>
      <w:rPr>
        <w:b/>
      </w:rPr>
    </w:lvl>
    <w:lvl w:ilvl="3">
      <w:start w:val="1"/>
      <w:numFmt w:val="decimal"/>
      <w:suff w:val="tab"/>
      <w:lvlText w:val="%1.%2.%3.%4."/>
      <w:lvlJc w:val="left"/>
      <w:pPr>
        <w:ind w:left="0" w:hanging="0"/>
      </w:pPr>
      <w:rPr>
        <w:b/>
      </w:rPr>
    </w:lvl>
    <w:lvl w:ilvl="4">
      <w:start w:val="1"/>
      <w:numFmt w:val="decimal"/>
      <w:suff w:val="tab"/>
      <w:lvlText w:val="%1.%2.%3.%4.%5."/>
      <w:lvlJc w:val="left"/>
      <w:pPr>
        <w:ind w:left="0" w:hanging="0"/>
      </w:pPr>
      <w:rPr>
        <w:b/>
      </w:rPr>
    </w:lvl>
    <w:lvl w:ilvl="5">
      <w:start w:val="1"/>
      <w:numFmt w:val="decimal"/>
      <w:suff w:val="tab"/>
      <w:lvlText w:val="%1.%2.%3.%4.%5.%6."/>
      <w:lvlJc w:val="left"/>
      <w:pPr>
        <w:ind w:left="0" w:hanging="0"/>
      </w:pPr>
      <w:rPr>
        <w:b/>
      </w:rPr>
    </w:lvl>
    <w:lvl w:ilvl="6">
      <w:start w:val="1"/>
      <w:numFmt w:val="decimal"/>
      <w:suff w:val="tab"/>
      <w:lvlText w:val="%1.%2.%3.%4.%5.%6.%7."/>
      <w:lvlJc w:val="left"/>
      <w:pPr>
        <w:ind w:left="0" w:hanging="0"/>
      </w:pPr>
      <w:rPr>
        <w:b/>
      </w:rPr>
    </w:lvl>
    <w:lvl w:ilvl="7">
      <w:start w:val="1"/>
      <w:numFmt w:val="decimal"/>
      <w:suff w:val="tab"/>
      <w:lvlText w:val="%1.%2.%3.%4.%5.%6.%7.%8."/>
      <w:lvlJc w:val="left"/>
      <w:pPr>
        <w:ind w:left="0" w:hanging="0"/>
      </w:pPr>
      <w:rPr>
        <w:b/>
      </w:rPr>
    </w:lvl>
    <w:lvl w:ilvl="8">
      <w:start w:val="1"/>
      <w:numFmt w:val="decimal"/>
      <w:suff w:val="tab"/>
      <w:lvlText w:val="%1.%2.%3.%4.%5.%6.%7.%8.%9."/>
      <w:lvlJc w:val="left"/>
      <w:pPr>
        <w:ind w:left="0" w:hanging="0"/>
      </w:pPr>
      <w:rPr>
        <w:b/>
      </w:rPr>
    </w:lvl>
  </w:abstractNum>
  <w:abstractNum w:abstractNumId="8">
    <w:multiLevelType w:val="hybridMultilevel"/>
    <w:name w:val="Lista numerada 8"/>
    <w:lvl w:ilvl="0">
      <w:start w:val="6"/>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9">
    <w:multiLevelType w:val="hybridMultilevel"/>
    <w:name w:val="Lista numerada 9"/>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0">
    <w:multiLevelType w:val="hybridMultilevel"/>
    <w:name w:val="Lista numerada 10"/>
    <w:lvl w:ilvl="0">
      <w:start w:val="1"/>
      <w:numFmt w:val="decimal"/>
      <w:suff w:val="tab"/>
      <w:lvlText w:val="%1."/>
      <w:lvlJc w:val="left"/>
      <w:pPr>
        <w:ind w:left="0" w:hanging="0"/>
      </w:pPr>
      <w:rPr>
        <w:rFonts w:ascii="Times New Roman" w:hAnsi="Times New Roman" w:eastAsia="Times New Roman"/>
        <w:sz w:val="24"/>
      </w:rPr>
    </w:lvl>
    <w:lvl w:ilvl="1">
      <w:start w:val="1"/>
      <w:numFmt w:val="decimal"/>
      <w:suff w:val="tab"/>
      <w:lvlText w:val="%1.%2."/>
      <w:lvlJc w:val="left"/>
      <w:pPr>
        <w:ind w:left="0" w:hanging="0"/>
      </w:pPr>
      <w:rPr>
        <w:rFonts w:ascii="Times New Roman" w:hAnsi="Times New Roman" w:eastAsia="Times New Roman"/>
        <w:sz w:val="24"/>
      </w:rPr>
    </w:lvl>
    <w:lvl w:ilvl="2">
      <w:start w:val="1"/>
      <w:numFmt w:val="decimal"/>
      <w:suff w:val="tab"/>
      <w:lvlText w:val="%1.%2.%3."/>
      <w:lvlJc w:val="left"/>
      <w:pPr>
        <w:ind w:left="0" w:hanging="0"/>
      </w:pPr>
      <w:rPr>
        <w:rFonts w:ascii="Times New Roman" w:hAnsi="Times New Roman" w:eastAsia="Times New Roman"/>
        <w:sz w:val="24"/>
      </w:rPr>
    </w:lvl>
    <w:lvl w:ilvl="3">
      <w:start w:val="1"/>
      <w:numFmt w:val="decimal"/>
      <w:suff w:val="tab"/>
      <w:lvlText w:val="%1.%2.%3.%4."/>
      <w:lvlJc w:val="left"/>
      <w:pPr>
        <w:ind w:left="0" w:hanging="0"/>
      </w:pPr>
      <w:rPr>
        <w:rFonts w:ascii="Times New Roman" w:hAnsi="Times New Roman" w:eastAsia="Times New Roman"/>
        <w:sz w:val="24"/>
      </w:rPr>
    </w:lvl>
    <w:lvl w:ilvl="4">
      <w:start w:val="1"/>
      <w:numFmt w:val="decimal"/>
      <w:suff w:val="tab"/>
      <w:lvlText w:val="%1.%2.%3.%4.%5."/>
      <w:lvlJc w:val="left"/>
      <w:pPr>
        <w:ind w:left="0" w:hanging="0"/>
      </w:pPr>
      <w:rPr>
        <w:rFonts w:ascii="Times New Roman" w:hAnsi="Times New Roman" w:eastAsia="Times New Roman"/>
        <w:sz w:val="24"/>
      </w:rPr>
    </w:lvl>
    <w:lvl w:ilvl="5">
      <w:start w:val="1"/>
      <w:numFmt w:val="decimal"/>
      <w:suff w:val="tab"/>
      <w:lvlText w:val="%1.%2.%3.%4.%5.%6."/>
      <w:lvlJc w:val="left"/>
      <w:pPr>
        <w:ind w:left="0" w:hanging="0"/>
      </w:pPr>
      <w:rPr>
        <w:rFonts w:ascii="Times New Roman" w:hAnsi="Times New Roman" w:eastAsia="Times New Roman"/>
        <w:sz w:val="24"/>
      </w:rPr>
    </w:lvl>
    <w:lvl w:ilvl="6">
      <w:start w:val="1"/>
      <w:numFmt w:val="decimal"/>
      <w:suff w:val="tab"/>
      <w:lvlText w:val="%1.%2.%3.%4.%5.%6.%7."/>
      <w:lvlJc w:val="left"/>
      <w:pPr>
        <w:ind w:left="0" w:hanging="0"/>
      </w:pPr>
      <w:rPr>
        <w:rFonts w:ascii="Times New Roman" w:hAnsi="Times New Roman" w:eastAsia="Times New Roman"/>
        <w:sz w:val="24"/>
      </w:rPr>
    </w:lvl>
    <w:lvl w:ilvl="7">
      <w:start w:val="1"/>
      <w:numFmt w:val="decimal"/>
      <w:suff w:val="tab"/>
      <w:lvlText w:val="%1.%2.%3.%4.%5.%6.%7.%8."/>
      <w:lvlJc w:val="left"/>
      <w:pPr>
        <w:ind w:left="0" w:hanging="0"/>
      </w:pPr>
      <w:rPr>
        <w:rFonts w:ascii="Times New Roman" w:hAnsi="Times New Roman" w:eastAsia="Times New Roman"/>
        <w:sz w:val="24"/>
      </w:rPr>
    </w:lvl>
    <w:lvl w:ilvl="8">
      <w:start w:val="1"/>
      <w:numFmt w:val="decimal"/>
      <w:suff w:val="tab"/>
      <w:lvlText w:val="%1.%2.%3.%4.%5.%6.%7.%8.%9."/>
      <w:lvlJc w:val="left"/>
      <w:pPr>
        <w:ind w:left="0" w:hanging="0"/>
      </w:pPr>
      <w:rPr>
        <w:rFonts w:ascii="Times New Roman" w:hAnsi="Times New Roman" w:eastAsia="Times New Roman"/>
        <w:sz w:val="24"/>
      </w:rPr>
    </w:lvl>
  </w:abstractNum>
  <w:abstractNum w:abstractNumId="11">
    <w:multiLevelType w:val="hybridMultilevel"/>
    <w:name w:val="Lista numerada 11"/>
    <w:lvl w:ilvl="0">
      <w:start w:val="1"/>
      <w:numFmt w:val="lowerLetter"/>
      <w:suff w:val="tab"/>
      <w:lvlText w:val="%1)"/>
      <w:lvlJc w:val="left"/>
      <w:pPr>
        <w:ind w:left="1211" w:hanging="0"/>
      </w:pPr>
      <w:rPr>
        <w:b/>
      </w:rPr>
    </w:lvl>
    <w:lvl w:ilvl="1">
      <w:start w:val="1"/>
      <w:numFmt w:val="lowerLetter"/>
      <w:suff w:val="tab"/>
      <w:lvlText w:val="%2."/>
      <w:lvlJc w:val="left"/>
      <w:pPr>
        <w:ind w:left="1931" w:hanging="0"/>
      </w:pPr>
    </w:lvl>
    <w:lvl w:ilvl="2">
      <w:start w:val="1"/>
      <w:numFmt w:val="lowerRoman"/>
      <w:suff w:val="tab"/>
      <w:lvlText w:val="%3."/>
      <w:lvlJc w:val="left"/>
      <w:pPr>
        <w:ind w:left="2831" w:hanging="0"/>
      </w:pPr>
    </w:lvl>
    <w:lvl w:ilvl="3">
      <w:start w:val="1"/>
      <w:numFmt w:val="decimal"/>
      <w:suff w:val="tab"/>
      <w:lvlText w:val="%4."/>
      <w:lvlJc w:val="left"/>
      <w:pPr>
        <w:ind w:left="3371" w:hanging="0"/>
      </w:pPr>
    </w:lvl>
    <w:lvl w:ilvl="4">
      <w:start w:val="1"/>
      <w:numFmt w:val="lowerLetter"/>
      <w:suff w:val="tab"/>
      <w:lvlText w:val="%5."/>
      <w:lvlJc w:val="left"/>
      <w:pPr>
        <w:ind w:left="4091" w:hanging="0"/>
      </w:pPr>
    </w:lvl>
    <w:lvl w:ilvl="5">
      <w:start w:val="1"/>
      <w:numFmt w:val="lowerRoman"/>
      <w:suff w:val="tab"/>
      <w:lvlText w:val="%6."/>
      <w:lvlJc w:val="left"/>
      <w:pPr>
        <w:ind w:left="4991" w:hanging="0"/>
      </w:pPr>
    </w:lvl>
    <w:lvl w:ilvl="6">
      <w:start w:val="1"/>
      <w:numFmt w:val="decimal"/>
      <w:suff w:val="tab"/>
      <w:lvlText w:val="%7."/>
      <w:lvlJc w:val="left"/>
      <w:pPr>
        <w:ind w:left="5531" w:hanging="0"/>
      </w:pPr>
    </w:lvl>
    <w:lvl w:ilvl="7">
      <w:start w:val="1"/>
      <w:numFmt w:val="lowerLetter"/>
      <w:suff w:val="tab"/>
      <w:lvlText w:val="%8."/>
      <w:lvlJc w:val="left"/>
      <w:pPr>
        <w:ind w:left="6251" w:hanging="0"/>
      </w:pPr>
    </w:lvl>
    <w:lvl w:ilvl="8">
      <w:start w:val="1"/>
      <w:numFmt w:val="lowerRoman"/>
      <w:suff w:val="tab"/>
      <w:lvlText w:val="%9."/>
      <w:lvlJc w:val="left"/>
      <w:pPr>
        <w:ind w:left="7151" w:hanging="0"/>
      </w:pPr>
    </w:lvl>
  </w:abstractNum>
  <w:abstractNum w:abstractNumId="12">
    <w:multiLevelType w:val="hybridMultilevel"/>
    <w:name w:val="Lista numerada 12"/>
    <w:lvl w:ilvl="0">
      <w:start w:val="1"/>
      <w:numFmt w:val="decimal"/>
      <w:suff w:val="tab"/>
      <w:lvlText w:val="%1"/>
      <w:lvlJc w:val="left"/>
      <w:pPr>
        <w:ind w:left="0" w:hanging="0"/>
      </w:pPr>
    </w:lvl>
    <w:lvl w:ilvl="1">
      <w:start w:val="6"/>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3">
    <w:multiLevelType w:val="hybridMultilevel"/>
    <w:name w:val="Lista numerada 13"/>
    <w:lvl w:ilvl="0">
      <w:start w:val="4"/>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4">
    <w:multiLevelType w:val="hybridMultilevel"/>
    <w:name w:val="Lista numerada 14"/>
    <w:lvl w:ilvl="0">
      <w:start w:val="1"/>
      <w:numFmt w:val="decimal"/>
      <w:suff w:val="tab"/>
      <w:lvlText w:val="%1."/>
      <w:lvlJc w:val="left"/>
      <w:pPr>
        <w:ind w:left="0" w:hanging="0"/>
      </w:pPr>
    </w:lvl>
    <w:lvl w:ilvl="1">
      <w:start w:val="1"/>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5">
    <w:multiLevelType w:val="hybridMultilevel"/>
    <w:name w:val="Lista numerada 15"/>
    <w:lvl w:ilvl="0">
      <w:numFmt w:val="bullet"/>
      <w:suff w:val="tab"/>
      <w:lvlText w:val=""/>
      <w:lvlJc w:val="left"/>
      <w:pPr>
        <w:ind w:left="360" w:hanging="0"/>
      </w:pPr>
      <w:rPr>
        <w:rFonts w:ascii="Wingdings" w:hAnsi="Wingdings"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6">
    <w:multiLevelType w:val="hybridMultilevel"/>
    <w:name w:val="Lista numerada 16"/>
    <w:lvl w:ilvl="0">
      <w:numFmt w:val="bullet"/>
      <w:suff w:val="tab"/>
      <w:lvlText w:val=""/>
      <w:lvlJc w:val="left"/>
      <w:pPr>
        <w:ind w:left="1125" w:hanging="0"/>
      </w:pPr>
      <w:rPr>
        <w:rFonts w:ascii="Symbol" w:hAnsi="Symbol"/>
      </w:rPr>
    </w:lvl>
    <w:lvl w:ilvl="1">
      <w:numFmt w:val="bullet"/>
      <w:suff w:val="tab"/>
      <w:lvlText w:val="o"/>
      <w:lvlJc w:val="left"/>
      <w:pPr>
        <w:ind w:left="1845" w:hanging="0"/>
      </w:pPr>
      <w:rPr>
        <w:rFonts w:ascii="Courier New" w:hAnsi="Courier New" w:cs="Courier New"/>
      </w:rPr>
    </w:lvl>
    <w:lvl w:ilvl="2">
      <w:numFmt w:val="bullet"/>
      <w:suff w:val="tab"/>
      <w:lvlText w:val=""/>
      <w:lvlJc w:val="left"/>
      <w:pPr>
        <w:ind w:left="2565" w:hanging="0"/>
      </w:pPr>
      <w:rPr>
        <w:rFonts w:ascii="Wingdings" w:hAnsi="Wingdings" w:eastAsia="Wingdings" w:cs="Wingdings"/>
      </w:rPr>
    </w:lvl>
    <w:lvl w:ilvl="3">
      <w:numFmt w:val="bullet"/>
      <w:suff w:val="tab"/>
      <w:lvlText w:val=""/>
      <w:lvlJc w:val="left"/>
      <w:pPr>
        <w:ind w:left="3285" w:hanging="0"/>
      </w:pPr>
      <w:rPr>
        <w:rFonts w:ascii="Symbol" w:hAnsi="Symbol"/>
      </w:rPr>
    </w:lvl>
    <w:lvl w:ilvl="4">
      <w:numFmt w:val="bullet"/>
      <w:suff w:val="tab"/>
      <w:lvlText w:val="o"/>
      <w:lvlJc w:val="left"/>
      <w:pPr>
        <w:ind w:left="4005" w:hanging="0"/>
      </w:pPr>
      <w:rPr>
        <w:rFonts w:ascii="Courier New" w:hAnsi="Courier New" w:cs="Courier New"/>
      </w:rPr>
    </w:lvl>
    <w:lvl w:ilvl="5">
      <w:numFmt w:val="bullet"/>
      <w:suff w:val="tab"/>
      <w:lvlText w:val=""/>
      <w:lvlJc w:val="left"/>
      <w:pPr>
        <w:ind w:left="4725" w:hanging="0"/>
      </w:pPr>
      <w:rPr>
        <w:rFonts w:ascii="Wingdings" w:hAnsi="Wingdings" w:eastAsia="Wingdings" w:cs="Wingdings"/>
      </w:rPr>
    </w:lvl>
    <w:lvl w:ilvl="6">
      <w:numFmt w:val="bullet"/>
      <w:suff w:val="tab"/>
      <w:lvlText w:val=""/>
      <w:lvlJc w:val="left"/>
      <w:pPr>
        <w:ind w:left="5445" w:hanging="0"/>
      </w:pPr>
      <w:rPr>
        <w:rFonts w:ascii="Symbol" w:hAnsi="Symbol"/>
      </w:rPr>
    </w:lvl>
    <w:lvl w:ilvl="7">
      <w:numFmt w:val="bullet"/>
      <w:suff w:val="tab"/>
      <w:lvlText w:val="o"/>
      <w:lvlJc w:val="left"/>
      <w:pPr>
        <w:ind w:left="6165" w:hanging="0"/>
      </w:pPr>
      <w:rPr>
        <w:rFonts w:ascii="Courier New" w:hAnsi="Courier New" w:cs="Courier New"/>
      </w:rPr>
    </w:lvl>
    <w:lvl w:ilvl="8">
      <w:numFmt w:val="bullet"/>
      <w:suff w:val="tab"/>
      <w:lvlText w:val=""/>
      <w:lvlJc w:val="left"/>
      <w:pPr>
        <w:ind w:left="6885" w:hanging="0"/>
      </w:pPr>
      <w:rPr>
        <w:rFonts w:ascii="Wingdings" w:hAnsi="Wingdings" w:eastAsia="Wingdings" w:cs="Wingdings"/>
      </w:rPr>
    </w:lvl>
  </w:abstractNum>
  <w:abstractNum w:abstractNumId="17">
    <w:multiLevelType w:val="hybridMultilevel"/>
    <w:name w:val="Lista numerada 17"/>
    <w:lvl w:ilvl="0">
      <w:start w:val="1"/>
      <w:numFmt w:val="ordinal"/>
      <w:pStyle w:val="para31"/>
      <w:suff w:val="tab"/>
      <w:lvlText w:val="§%1 - "/>
      <w:lvlJc w:val="left"/>
      <w:pPr>
        <w:ind w:left="851" w:hanging="0"/>
      </w:pPr>
      <w:rPr>
        <w:rFonts w:ascii="Times New Roman" w:hAnsi="Times New Roman" w:cs="Times New Roman"/>
      </w:rPr>
    </w:lvl>
    <w:lvl w:ilvl="1">
      <w:start w:val="1"/>
      <w:numFmt w:val="lowerRoman"/>
      <w:suff w:val="tab"/>
      <w:lvlText w:val="%2 - "/>
      <w:lvlJc w:val="left"/>
      <w:pPr>
        <w:ind w:left="1134" w:hanging="0"/>
      </w:pPr>
      <w:rPr>
        <w:rFonts w:ascii="Times New Roman" w:hAnsi="Times New Roman" w:cs="Times New Roman"/>
      </w:rPr>
    </w:lvl>
    <w:lvl w:ilvl="2">
      <w:start w:val="1"/>
      <w:numFmt w:val="lowerLetter"/>
      <w:suff w:val="tab"/>
      <w:lvlText w:val="%3 -"/>
      <w:lvlJc w:val="left"/>
      <w:pPr>
        <w:ind w:left="1418" w:hanging="0"/>
      </w:pPr>
      <w:rPr>
        <w:rFonts w:ascii="Times New Roman" w:hAnsi="Times New Roman" w:cs="Times New Roman"/>
      </w:rPr>
    </w:lvl>
    <w:lvl w:ilvl="3">
      <w:start w:val="1"/>
      <w:numFmt w:val="decimal"/>
      <w:suff w:val="tab"/>
      <w:lvlText w:val="%1.%2.%3.%4."/>
      <w:lvlJc w:val="left"/>
      <w:pPr>
        <w:ind w:left="1080" w:hanging="0"/>
      </w:pPr>
      <w:rPr>
        <w:rFonts w:ascii="Times New Roman" w:hAnsi="Times New Roman" w:cs="Times New Roman"/>
      </w:rPr>
    </w:lvl>
    <w:lvl w:ilvl="4">
      <w:start w:val="1"/>
      <w:numFmt w:val="decimal"/>
      <w:suff w:val="tab"/>
      <w:lvlText w:val="%1.%2.%3.%4.%5."/>
      <w:lvlJc w:val="left"/>
      <w:pPr>
        <w:ind w:left="1440" w:hanging="0"/>
      </w:pPr>
      <w:rPr>
        <w:rFonts w:ascii="Times New Roman" w:hAnsi="Times New Roman" w:cs="Times New Roman"/>
      </w:rPr>
    </w:lvl>
    <w:lvl w:ilvl="5">
      <w:start w:val="1"/>
      <w:numFmt w:val="decimal"/>
      <w:suff w:val="tab"/>
      <w:lvlText w:val="%1.%2.%3.%4.%5.%6."/>
      <w:lvlJc w:val="left"/>
      <w:pPr>
        <w:ind w:left="1800" w:hanging="0"/>
      </w:pPr>
      <w:rPr>
        <w:rFonts w:ascii="Times New Roman" w:hAnsi="Times New Roman" w:cs="Times New Roman"/>
      </w:rPr>
    </w:lvl>
    <w:lvl w:ilvl="6">
      <w:start w:val="1"/>
      <w:numFmt w:val="decimal"/>
      <w:suff w:val="tab"/>
      <w:lvlText w:val="%1.%2.%3.%4.%5.%6.%7."/>
      <w:lvlJc w:val="left"/>
      <w:pPr>
        <w:ind w:left="2160" w:hanging="0"/>
      </w:pPr>
      <w:rPr>
        <w:rFonts w:ascii="Times New Roman" w:hAnsi="Times New Roman" w:cs="Times New Roman"/>
      </w:rPr>
    </w:lvl>
    <w:lvl w:ilvl="7">
      <w:start w:val="1"/>
      <w:numFmt w:val="decimal"/>
      <w:suff w:val="tab"/>
      <w:lvlText w:val="%1.%2.%3.%4.%5.%6.%7.%8."/>
      <w:lvlJc w:val="left"/>
      <w:pPr>
        <w:ind w:left="2520" w:hanging="0"/>
      </w:pPr>
      <w:rPr>
        <w:rFonts w:ascii="Times New Roman" w:hAnsi="Times New Roman" w:cs="Times New Roman"/>
      </w:rPr>
    </w:lvl>
    <w:lvl w:ilvl="8">
      <w:start w:val="1"/>
      <w:numFmt w:val="decimal"/>
      <w:suff w:val="tab"/>
      <w:lvlText w:val="%1.%2.%3.%4.%5.%6.%7.%8.%9."/>
      <w:lvlJc w:val="left"/>
      <w:pPr>
        <w:ind w:left="2880" w:hanging="0"/>
      </w:pPr>
      <w:rPr>
        <w:rFonts w:ascii="Times New Roman" w:hAnsi="Times New Roman" w:cs="Times New Roman"/>
      </w:rPr>
    </w:lvl>
  </w:abstractNum>
  <w:abstractNum w:abstractNumId="18">
    <w:multiLevelType w:val="hybridMultilevel"/>
    <w:name w:val="Lista numerada 18"/>
    <w:lvl w:ilvl="0">
      <w:start w:val="1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9">
    <w:multiLevelType w:val="hybridMultilevel"/>
    <w:name w:val="Lista numerada 19"/>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0">
    <w:multiLevelType w:val="hybridMultilevel"/>
    <w:name w:val="Lista numerada 20"/>
    <w:lvl w:ilvl="0">
      <w:start w:val="14"/>
      <w:numFmt w:val="decimal"/>
      <w:suff w:val="tab"/>
      <w:lvlText w:val="%1"/>
      <w:lvlJc w:val="left"/>
      <w:pPr>
        <w:ind w:left="360" w:hanging="0"/>
      </w:pPr>
    </w:lvl>
    <w:lvl w:ilvl="1">
      <w:start w:val="1"/>
      <w:numFmt w:val="decimal"/>
      <w:suff w:val="tab"/>
      <w:lvlText w:val="%1.%2"/>
      <w:lvlJc w:val="left"/>
      <w:pPr>
        <w:ind w:left="360" w:hanging="0"/>
      </w:pPr>
    </w:lvl>
    <w:lvl w:ilvl="2">
      <w:start w:val="1"/>
      <w:numFmt w:val="decimal"/>
      <w:suff w:val="tab"/>
      <w:lvlText w:val="%1.%2.%3"/>
      <w:lvlJc w:val="left"/>
      <w:pPr>
        <w:ind w:left="360" w:hanging="0"/>
      </w:pPr>
    </w:lvl>
    <w:lvl w:ilvl="3">
      <w:start w:val="1"/>
      <w:numFmt w:val="decimal"/>
      <w:suff w:val="tab"/>
      <w:lvlText w:val="%1.%2.%3.%4"/>
      <w:lvlJc w:val="left"/>
      <w:pPr>
        <w:ind w:left="360" w:hanging="0"/>
      </w:pPr>
    </w:lvl>
    <w:lvl w:ilvl="4">
      <w:start w:val="1"/>
      <w:numFmt w:val="decimal"/>
      <w:suff w:val="tab"/>
      <w:lvlText w:val="%1.%2.%3.%4.%5"/>
      <w:lvlJc w:val="left"/>
      <w:pPr>
        <w:ind w:left="360" w:hanging="0"/>
      </w:pPr>
    </w:lvl>
    <w:lvl w:ilvl="5">
      <w:start w:val="1"/>
      <w:numFmt w:val="decimal"/>
      <w:suff w:val="tab"/>
      <w:lvlText w:val="%1.%2.%3.%4.%5.%6"/>
      <w:lvlJc w:val="left"/>
      <w:pPr>
        <w:ind w:left="360" w:hanging="0"/>
      </w:pPr>
    </w:lvl>
    <w:lvl w:ilvl="6">
      <w:start w:val="1"/>
      <w:numFmt w:val="decimal"/>
      <w:suff w:val="tab"/>
      <w:lvlText w:val="%1.%2.%3.%4.%5.%6.%7"/>
      <w:lvlJc w:val="left"/>
      <w:pPr>
        <w:ind w:left="360" w:hanging="0"/>
      </w:pPr>
    </w:lvl>
    <w:lvl w:ilvl="7">
      <w:start w:val="1"/>
      <w:numFmt w:val="decimal"/>
      <w:suff w:val="tab"/>
      <w:lvlText w:val="%1.%2.%3.%4.%5.%6.%7.%8"/>
      <w:lvlJc w:val="left"/>
      <w:pPr>
        <w:ind w:left="360" w:hanging="0"/>
      </w:pPr>
    </w:lvl>
    <w:lvl w:ilvl="8">
      <w:start w:val="1"/>
      <w:numFmt w:val="decimal"/>
      <w:suff w:val="tab"/>
      <w:lvlText w:val="%1.%2.%3.%4.%5.%6.%7.%8.%9"/>
      <w:lvlJc w:val="left"/>
      <w:pPr>
        <w:ind w:left="360" w:hanging="0"/>
      </w:pPr>
    </w:lvl>
  </w:abstractNum>
  <w:abstractNum w:abstractNumId="21">
    <w:multiLevelType w:val="hybridMultilevel"/>
    <w:name w:val="Lista numerada 21"/>
    <w:lvl w:ilvl="0">
      <w:start w:val="1"/>
      <w:numFmt w:val="decimal"/>
      <w:pStyle w:val="para23"/>
      <w:suff w:val="tab"/>
      <w:lvlText w:val="%1."/>
      <w:lvlJc w:val="left"/>
      <w:pPr>
        <w:ind w:left="0" w:hanging="0"/>
      </w:pPr>
      <w:rPr>
        <w:rFonts w:ascii="Times New Roman" w:hAnsi="Times New Roman" w:eastAsia="Times New Roman"/>
        <w:b/>
        <w:bCs/>
        <w:sz w:val="24"/>
        <w:szCs w:val="24"/>
      </w:rPr>
    </w:lvl>
    <w:lvl w:ilvl="1">
      <w:start w:val="1"/>
      <w:numFmt w:val="decimal"/>
      <w:suff w:val="nothing"/>
      <w:lvlText w:val="%1.%2 - "/>
      <w:lvlJc w:val="left"/>
      <w:pPr>
        <w:ind w:left="852" w:hanging="0"/>
      </w:pPr>
      <w:rPr>
        <w:rFonts w:ascii="Times New Roman" w:hAnsi="Times New Roman" w:cs="Times New Roman"/>
        <w:b w:val="0"/>
        <w:color w:val="auto"/>
        <w:sz w:val="24"/>
        <w:szCs w:val="24"/>
      </w:rPr>
    </w:lvl>
    <w:lvl w:ilvl="2">
      <w:start w:val="1"/>
      <w:numFmt w:val="decimal"/>
      <w:suff w:val="nothing"/>
      <w:lvlText w:val="%1.%2.%3 - "/>
      <w:lvlJc w:val="left"/>
      <w:pPr>
        <w:ind w:left="721" w:hanging="0"/>
      </w:pPr>
      <w:rPr>
        <w:rFonts w:ascii="Times New (W1)" w:hAnsi="Times New (W1)" w:cs="Times New (W1)"/>
        <w:b w:val="0"/>
        <w:sz w:val="24"/>
        <w:szCs w:val="24"/>
      </w:rPr>
    </w:lvl>
    <w:lvl w:ilvl="3">
      <w:start w:val="1"/>
      <w:numFmt w:val="decimal"/>
      <w:suff w:val="nothing"/>
      <w:lvlText w:val="%1.%2.%3.%4 - "/>
      <w:lvlJc w:val="left"/>
      <w:pPr>
        <w:ind w:left="1081" w:hanging="0"/>
      </w:pPr>
      <w:rPr>
        <w:rFonts w:ascii="Times New Roman" w:hAnsi="Times New Roman" w:cs="Times New Roman"/>
        <w:b w:val="0"/>
        <w:sz w:val="24"/>
        <w:szCs w:val="24"/>
      </w:rPr>
    </w:lvl>
    <w:lvl w:ilvl="4">
      <w:start w:val="1"/>
      <w:numFmt w:val="decimal"/>
      <w:suff w:val="tab"/>
      <w:lvlText w:val="%1.%2.%3.%4.%5."/>
      <w:lvlJc w:val="left"/>
      <w:pPr>
        <w:ind w:left="1441" w:hanging="0"/>
      </w:pPr>
      <w:rPr>
        <w:rFonts w:ascii="Times New Roman" w:hAnsi="Times New Roman" w:cs="Times New Roman"/>
      </w:rPr>
    </w:lvl>
    <w:lvl w:ilvl="5">
      <w:start w:val="1"/>
      <w:numFmt w:val="decimal"/>
      <w:suff w:val="tab"/>
      <w:lvlText w:val="%1.%2.%3.%4.%5.%6."/>
      <w:lvlJc w:val="left"/>
      <w:pPr>
        <w:ind w:left="1801" w:hanging="0"/>
      </w:pPr>
      <w:rPr>
        <w:rFonts w:ascii="Times New Roman" w:hAnsi="Times New Roman" w:cs="Times New Roman"/>
      </w:rPr>
    </w:lvl>
    <w:lvl w:ilvl="6">
      <w:start w:val="1"/>
      <w:numFmt w:val="decimal"/>
      <w:suff w:val="tab"/>
      <w:lvlText w:val="%1.%2.%3.%4.%5.%6.%7."/>
      <w:lvlJc w:val="left"/>
      <w:pPr>
        <w:ind w:left="2161" w:hanging="0"/>
      </w:pPr>
      <w:rPr>
        <w:rFonts w:ascii="Times New Roman" w:hAnsi="Times New Roman" w:cs="Times New Roman"/>
      </w:rPr>
    </w:lvl>
    <w:lvl w:ilvl="7">
      <w:start w:val="1"/>
      <w:numFmt w:val="decimal"/>
      <w:suff w:val="tab"/>
      <w:lvlText w:val="%1.%2.%3.%4.%5.%6.%7.%8."/>
      <w:lvlJc w:val="left"/>
      <w:pPr>
        <w:ind w:left="2521" w:hanging="0"/>
      </w:pPr>
      <w:rPr>
        <w:rFonts w:ascii="Times New Roman" w:hAnsi="Times New Roman" w:cs="Times New Roman"/>
      </w:rPr>
    </w:lvl>
    <w:lvl w:ilvl="8">
      <w:start w:val="1"/>
      <w:numFmt w:val="decimal"/>
      <w:suff w:val="tab"/>
      <w:lvlText w:val="%1.%2.%3.%4.%5.%6.%7.%8.%9."/>
      <w:lvlJc w:val="left"/>
      <w:pPr>
        <w:ind w:left="2881" w:hanging="0"/>
      </w:pPr>
      <w:rPr>
        <w:rFonts w:ascii="Times New Roman" w:hAnsi="Times New Roman" w:cs="Times New Roman"/>
      </w:rPr>
    </w:lvl>
  </w:abstractNum>
  <w:abstractNum w:abstractNumId="22">
    <w:multiLevelType w:val="hybridMultilevel"/>
    <w:name w:val="Lista numerada 22"/>
    <w:lvl w:ilvl="0">
      <w:start w:val="1"/>
      <w:numFmt w:val="lowerLetter"/>
      <w:pStyle w:val="para29"/>
      <w:suff w:val="tab"/>
      <w:lvlText w:val="%1)"/>
      <w:lvlJc w:val="left"/>
      <w:pPr>
        <w:ind w:left="1134" w:hanging="0"/>
      </w:pPr>
      <w:rPr>
        <w:rFonts w:ascii="Times New Roman" w:hAnsi="Times New Roman" w:cs="Times New Roman"/>
      </w:rPr>
    </w:lvl>
    <w:lvl w:ilvl="1">
      <w:start w:val="1"/>
      <w:numFmt w:val="decimal"/>
      <w:suff w:val="tab"/>
      <w:lvlText w:val="%1.%2)"/>
      <w:lvlJc w:val="left"/>
      <w:pPr>
        <w:ind w:left="1701" w:hanging="0"/>
      </w:pPr>
      <w:rPr>
        <w:rFonts w:ascii="Times New Roman" w:hAnsi="Times New Roman" w:cs="Times New Roman"/>
      </w:rPr>
    </w:lvl>
    <w:lvl w:ilvl="2">
      <w:start w:val="1"/>
      <w:numFmt w:val="none"/>
      <w:suff w:val="tab"/>
      <w:lvlText w:val="%3- "/>
      <w:lvlJc w:val="left"/>
      <w:pPr>
        <w:ind w:left="2079" w:hanging="0"/>
      </w:pPr>
      <w:rPr>
        <w:rFonts w:ascii="Times New Roman" w:hAnsi="Times New Roman" w:cs="Times New Roman"/>
      </w:rPr>
    </w:lvl>
    <w:lvl w:ilvl="3">
      <w:start w:val="1"/>
      <w:numFmt w:val="decimal"/>
      <w:suff w:val="tab"/>
      <w:lvlText w:val="(%4)"/>
      <w:lvlJc w:val="left"/>
      <w:pPr>
        <w:ind w:left="2439" w:hanging="0"/>
      </w:pPr>
      <w:rPr>
        <w:rFonts w:ascii="Times New Roman" w:hAnsi="Times New Roman" w:cs="Times New Roman"/>
      </w:rPr>
    </w:lvl>
    <w:lvl w:ilvl="4">
      <w:start w:val="1"/>
      <w:numFmt w:val="lowerLetter"/>
      <w:suff w:val="tab"/>
      <w:lvlText w:val="(%5)"/>
      <w:lvlJc w:val="left"/>
      <w:pPr>
        <w:ind w:left="2799" w:hanging="0"/>
      </w:pPr>
      <w:rPr>
        <w:rFonts w:ascii="Times New Roman" w:hAnsi="Times New Roman" w:cs="Times New Roman"/>
      </w:rPr>
    </w:lvl>
    <w:lvl w:ilvl="5">
      <w:start w:val="1"/>
      <w:numFmt w:val="lowerRoman"/>
      <w:suff w:val="tab"/>
      <w:lvlText w:val="(%6)"/>
      <w:lvlJc w:val="left"/>
      <w:pPr>
        <w:ind w:left="3159" w:hanging="0"/>
      </w:pPr>
      <w:rPr>
        <w:rFonts w:ascii="Times New Roman" w:hAnsi="Times New Roman" w:cs="Times New Roman"/>
      </w:rPr>
    </w:lvl>
    <w:lvl w:ilvl="6">
      <w:start w:val="1"/>
      <w:numFmt w:val="decimal"/>
      <w:suff w:val="tab"/>
      <w:lvlText w:val="%7."/>
      <w:lvlJc w:val="left"/>
      <w:pPr>
        <w:ind w:left="3519" w:hanging="0"/>
      </w:pPr>
      <w:rPr>
        <w:rFonts w:ascii="Times New Roman" w:hAnsi="Times New Roman" w:cs="Times New Roman"/>
      </w:rPr>
    </w:lvl>
    <w:lvl w:ilvl="7">
      <w:start w:val="1"/>
      <w:numFmt w:val="lowerLetter"/>
      <w:suff w:val="tab"/>
      <w:lvlText w:val="%8."/>
      <w:lvlJc w:val="left"/>
      <w:pPr>
        <w:ind w:left="3879" w:hanging="0"/>
      </w:pPr>
      <w:rPr>
        <w:rFonts w:ascii="Times New Roman" w:hAnsi="Times New Roman" w:cs="Times New Roman"/>
      </w:rPr>
    </w:lvl>
    <w:lvl w:ilvl="8">
      <w:start w:val="1"/>
      <w:numFmt w:val="lowerRoman"/>
      <w:suff w:val="tab"/>
      <w:lvlText w:val="%9."/>
      <w:lvlJc w:val="left"/>
      <w:pPr>
        <w:ind w:left="4239" w:hanging="0"/>
      </w:pPr>
      <w:rPr>
        <w:rFonts w:ascii="Times New Roman" w:hAnsi="Times New Roman" w:cs="Times New Roman"/>
      </w:rPr>
    </w:lvl>
  </w:abstractNum>
  <w:abstractNum w:abstractNumId="23">
    <w:multiLevelType w:val="hybridMultilevel"/>
    <w:name w:val="Lista numerada 23"/>
    <w:lvl w:ilvl="0">
      <w:start w:val="1"/>
      <w:numFmt w:val="lowerLetter"/>
      <w:suff w:val="tab"/>
      <w:lvlText w:val="%1)"/>
      <w:lvlJc w:val="left"/>
      <w:pPr>
        <w:ind w:left="1134" w:hanging="0"/>
      </w:pPr>
      <w:rPr>
        <w:rFonts w:ascii="Times New Roman" w:hAnsi="Times New Roman" w:cs="Times New Roman"/>
        <w:b w:val="0"/>
      </w:rPr>
    </w:lvl>
    <w:lvl w:ilvl="1">
      <w:start w:val="1"/>
      <w:numFmt w:val="lowerLetter"/>
      <w:suff w:val="tab"/>
      <w:lvlText w:val="%2."/>
      <w:lvlJc w:val="left"/>
      <w:pPr>
        <w:ind w:left="1080" w:hanging="0"/>
      </w:pPr>
      <w:rPr>
        <w:rFonts w:ascii="Times New Roman" w:hAnsi="Times New Roman" w:cs="Times New Roman"/>
      </w:rPr>
    </w:lvl>
    <w:lvl w:ilvl="2">
      <w:start w:val="1"/>
      <w:numFmt w:val="lowerRoman"/>
      <w:suff w:val="tab"/>
      <w:lvlText w:val="%3."/>
      <w:lvlJc w:val="left"/>
      <w:pPr>
        <w:ind w:left="1980" w:hanging="0"/>
      </w:pPr>
      <w:rPr>
        <w:rFonts w:ascii="Times New Roman" w:hAnsi="Times New Roman" w:cs="Times New Roman"/>
      </w:rPr>
    </w:lvl>
    <w:lvl w:ilvl="3">
      <w:start w:val="1"/>
      <w:numFmt w:val="decimal"/>
      <w:suff w:val="tab"/>
      <w:lvlText w:val="%4."/>
      <w:lvlJc w:val="left"/>
      <w:pPr>
        <w:ind w:left="2520" w:hanging="0"/>
      </w:pPr>
      <w:rPr>
        <w:rFonts w:ascii="Times New Roman" w:hAnsi="Times New Roman" w:cs="Times New Roman"/>
      </w:rPr>
    </w:lvl>
    <w:lvl w:ilvl="4">
      <w:start w:val="1"/>
      <w:numFmt w:val="lowerLetter"/>
      <w:suff w:val="tab"/>
      <w:lvlText w:val="%5."/>
      <w:lvlJc w:val="left"/>
      <w:pPr>
        <w:ind w:left="3240" w:hanging="0"/>
      </w:pPr>
      <w:rPr>
        <w:rFonts w:ascii="Times New Roman" w:hAnsi="Times New Roman" w:cs="Times New Roman"/>
      </w:rPr>
    </w:lvl>
    <w:lvl w:ilvl="5">
      <w:start w:val="1"/>
      <w:numFmt w:val="lowerRoman"/>
      <w:suff w:val="tab"/>
      <w:lvlText w:val="%6."/>
      <w:lvlJc w:val="left"/>
      <w:pPr>
        <w:ind w:left="4140" w:hanging="0"/>
      </w:pPr>
      <w:rPr>
        <w:rFonts w:ascii="Times New Roman" w:hAnsi="Times New Roman" w:cs="Times New Roman"/>
      </w:rPr>
    </w:lvl>
    <w:lvl w:ilvl="6">
      <w:start w:val="1"/>
      <w:numFmt w:val="decimal"/>
      <w:suff w:val="tab"/>
      <w:lvlText w:val="%7."/>
      <w:lvlJc w:val="left"/>
      <w:pPr>
        <w:ind w:left="4680" w:hanging="0"/>
      </w:pPr>
      <w:rPr>
        <w:rFonts w:ascii="Times New Roman" w:hAnsi="Times New Roman" w:cs="Times New Roman"/>
      </w:rPr>
    </w:lvl>
    <w:lvl w:ilvl="7">
      <w:start w:val="1"/>
      <w:numFmt w:val="lowerLetter"/>
      <w:suff w:val="tab"/>
      <w:lvlText w:val="%8."/>
      <w:lvlJc w:val="left"/>
      <w:pPr>
        <w:ind w:left="5400" w:hanging="0"/>
      </w:pPr>
      <w:rPr>
        <w:rFonts w:ascii="Times New Roman" w:hAnsi="Times New Roman" w:cs="Times New Roman"/>
      </w:rPr>
    </w:lvl>
    <w:lvl w:ilvl="8">
      <w:start w:val="1"/>
      <w:numFmt w:val="lowerRoman"/>
      <w:suff w:val="tab"/>
      <w:lvlText w:val="%9."/>
      <w:lvlJc w:val="left"/>
      <w:pPr>
        <w:ind w:left="6300" w:hanging="0"/>
      </w:pPr>
      <w:rPr>
        <w:rFonts w:ascii="Times New Roman" w:hAnsi="Times New Roman" w:cs="Times New Roman"/>
      </w:rPr>
    </w:lvl>
  </w:abstractNum>
  <w:abstractNum w:abstractNumId="24">
    <w:multiLevelType w:val="hybridMultilevel"/>
    <w:name w:val="Lista numerada 24"/>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5">
    <w:multiLevelType w:val="hybridMultilevel"/>
    <w:name w:val="Lista numerada 25"/>
    <w:lvl w:ilvl="0">
      <w:start w:val="12"/>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6">
    <w:multiLevelType w:val="hybridMultilevel"/>
    <w:name w:val="Lista numerada 26"/>
    <w:lvl w:ilvl="0">
      <w:numFmt w:val="bullet"/>
      <w:suff w:val="tab"/>
      <w:lvlText w:val=""/>
      <w:lvlJc w:val="left"/>
      <w:pPr>
        <w:ind w:left="1065" w:hanging="0"/>
      </w:pPr>
      <w:rPr>
        <w:rFonts w:ascii="Symbol" w:hAnsi="Symbol"/>
      </w:rPr>
    </w:lvl>
    <w:lvl w:ilvl="1">
      <w:numFmt w:val="bullet"/>
      <w:suff w:val="tab"/>
      <w:lvlText w:val="o"/>
      <w:lvlJc w:val="left"/>
      <w:pPr>
        <w:ind w:left="1785" w:hanging="0"/>
      </w:pPr>
      <w:rPr>
        <w:rFonts w:ascii="Courier New" w:hAnsi="Courier New" w:cs="Courier New"/>
      </w:rPr>
    </w:lvl>
    <w:lvl w:ilvl="2">
      <w:numFmt w:val="bullet"/>
      <w:suff w:val="tab"/>
      <w:lvlText w:val=""/>
      <w:lvlJc w:val="left"/>
      <w:pPr>
        <w:ind w:left="2505" w:hanging="0"/>
      </w:pPr>
      <w:rPr>
        <w:rFonts w:ascii="Wingdings" w:hAnsi="Wingdings" w:eastAsia="Wingdings" w:cs="Wingdings"/>
      </w:rPr>
    </w:lvl>
    <w:lvl w:ilvl="3">
      <w:numFmt w:val="bullet"/>
      <w:suff w:val="tab"/>
      <w:lvlText w:val=""/>
      <w:lvlJc w:val="left"/>
      <w:pPr>
        <w:ind w:left="3225" w:hanging="0"/>
      </w:pPr>
      <w:rPr>
        <w:rFonts w:ascii="Symbol" w:hAnsi="Symbol"/>
      </w:rPr>
    </w:lvl>
    <w:lvl w:ilvl="4">
      <w:numFmt w:val="bullet"/>
      <w:suff w:val="tab"/>
      <w:lvlText w:val="o"/>
      <w:lvlJc w:val="left"/>
      <w:pPr>
        <w:ind w:left="3945" w:hanging="0"/>
      </w:pPr>
      <w:rPr>
        <w:rFonts w:ascii="Courier New" w:hAnsi="Courier New" w:cs="Courier New"/>
      </w:rPr>
    </w:lvl>
    <w:lvl w:ilvl="5">
      <w:numFmt w:val="bullet"/>
      <w:suff w:val="tab"/>
      <w:lvlText w:val=""/>
      <w:lvlJc w:val="left"/>
      <w:pPr>
        <w:ind w:left="4665" w:hanging="0"/>
      </w:pPr>
      <w:rPr>
        <w:rFonts w:ascii="Wingdings" w:hAnsi="Wingdings" w:eastAsia="Wingdings" w:cs="Wingdings"/>
      </w:rPr>
    </w:lvl>
    <w:lvl w:ilvl="6">
      <w:numFmt w:val="bullet"/>
      <w:suff w:val="tab"/>
      <w:lvlText w:val=""/>
      <w:lvlJc w:val="left"/>
      <w:pPr>
        <w:ind w:left="5385" w:hanging="0"/>
      </w:pPr>
      <w:rPr>
        <w:rFonts w:ascii="Symbol" w:hAnsi="Symbol"/>
      </w:rPr>
    </w:lvl>
    <w:lvl w:ilvl="7">
      <w:numFmt w:val="bullet"/>
      <w:suff w:val="tab"/>
      <w:lvlText w:val="o"/>
      <w:lvlJc w:val="left"/>
      <w:pPr>
        <w:ind w:left="6105" w:hanging="0"/>
      </w:pPr>
      <w:rPr>
        <w:rFonts w:ascii="Courier New" w:hAnsi="Courier New" w:cs="Courier New"/>
      </w:rPr>
    </w:lvl>
    <w:lvl w:ilvl="8">
      <w:numFmt w:val="bullet"/>
      <w:suff w:val="tab"/>
      <w:lvlText w:val=""/>
      <w:lvlJc w:val="left"/>
      <w:pPr>
        <w:ind w:left="6825" w:hanging="0"/>
      </w:pPr>
      <w:rPr>
        <w:rFonts w:ascii="Wingdings" w:hAnsi="Wingdings" w:eastAsia="Wingdings" w:cs="Wingding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9"/>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4"/>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55"/>
    <w:tmReviewMarkIns w:val="4"/>
    <w:tmReviewColorIns w:val="-1"/>
    <w:tmReviewMarkDel w:val="6"/>
    <w:tmReviewColorDel w:val="-1"/>
    <w:tmReviewMarkFmt w:val="1"/>
    <w:tmReviewColorFmt w:val="-1"/>
    <w:tmReviewMarkLn w:val="1"/>
    <w:tmReviewColorLn w:val="0"/>
    <w:tmReviewToolTip w:val="1"/>
  </w:tmReviewPr>
  <w:tmLastPos>
    <w:tmLastPosPage w:val="1"/>
    <w:tmLastPosSelect w:val="0"/>
    <w:tmLastPosFrameIdx w:val="0"/>
    <w:tmLastPosCaret>
      <w:tmLastPosPgfIdx w:val="59"/>
      <w:tmLastPosIdx w:val="50"/>
    </w:tmLastPosCaret>
    <w:tmLastPosAnchor>
      <w:tmLastPosPgfIdx w:val="0"/>
      <w:tmLastPosIdx w:val="0"/>
    </w:tmLastPosAnchor>
    <w:tmLastPosTblRect w:left="0" w:top="0" w:right="0" w:bottom="0"/>
  </w:tmLastPos>
  <w:tmAppRevision w:date="1578588699" w:val="971"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1"/>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2"/>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7"/>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1"/>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2"/>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7"/>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yperlink" Target="http://legislacao.planalto.gov.br/legisla/legislacao.nsf/Viw_Identificacao/lei%205.172-1966?OpenDocument"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rev.971</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subject/>
  <dc:creator>@</dc:creator>
  <cp:keywords/>
  <dc:description/>
  <cp:lastModifiedBy/>
  <cp:revision>55</cp:revision>
  <cp:lastPrinted>2020-01-09T16:52:51Z</cp:lastPrinted>
  <dcterms:created xsi:type="dcterms:W3CDTF">2017-02-09T09:22:00Z</dcterms:created>
  <dcterms:modified xsi:type="dcterms:W3CDTF">2020-01-09T16:51:39Z</dcterms:modified>
</cp:coreProperties>
</file>