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t>COMISSÃO PERMANENTE DE PREGÃO – CPP/PMSDN</w:t>
      </w:r>
    </w:p>
    <w:p>
      <w:pPr>
        <w:spacing w:before="0"/>
        <w:rPr>
          <w:color w:val="000000"/>
          <w:sz w:val="22"/>
          <w:szCs w:val="22"/>
        </w:rPr>
      </w:pPr>
      <w:r>
        <w:rPr>
          <w:color w:val="000000"/>
          <w:sz w:val="22"/>
          <w:szCs w:val="22"/>
        </w:rPr>
      </w:r>
    </w:p>
    <w:p>
      <w:pPr>
        <w:pStyle w:val="para5"/>
        <w:spacing w:before="0"/>
        <w:jc w:val="center"/>
        <w:rPr>
          <w:b/>
          <w:color w:val="000000"/>
          <w:spacing w:val="-3"/>
          <w:sz w:val="22"/>
          <w:szCs w:val="22"/>
        </w:rPr>
      </w:pPr>
      <w:r>
        <w:rPr>
          <w:b/>
          <w:color w:val="000000"/>
          <w:spacing w:val="-3"/>
          <w:sz w:val="22"/>
          <w:szCs w:val="22"/>
        </w:rPr>
        <w:t>PREGÃO PRESENCIAL 04/2020 - FMS - SRP</w:t>
      </w:r>
    </w:p>
    <w:p>
      <w:pPr>
        <w:spacing w:before="0"/>
        <w:rPr>
          <w:color w:val="000000"/>
          <w:spacing w:val="-3"/>
          <w:sz w:val="22"/>
          <w:szCs w:val="22"/>
        </w:rPr>
      </w:pPr>
      <w:r>
        <w:rPr>
          <w:color w:val="000000"/>
          <w:spacing w:val="-3"/>
          <w:sz w:val="22"/>
          <w:szCs w:val="22"/>
        </w:rPr>
      </w:r>
    </w:p>
    <w:p>
      <w:pPr>
        <w:pStyle w:val="para3"/>
        <w:spacing w:before="0"/>
        <w:jc w:val="center"/>
        <w:rPr>
          <w:color w:val="000000"/>
          <w:spacing w:val="-3"/>
          <w:sz w:val="22"/>
          <w:szCs w:val="22"/>
        </w:rPr>
      </w:pPr>
      <w:r>
        <w:rPr>
          <w:color w:val="000000"/>
          <w:spacing w:val="-3"/>
          <w:sz w:val="22"/>
          <w:szCs w:val="22"/>
        </w:rPr>
        <w:t>RECIBO</w:t>
      </w:r>
    </w:p>
    <w:p>
      <w:pPr>
        <w:spacing w:before="0"/>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04/2020 - FMS</w:t>
      </w:r>
      <w:r>
        <w:rPr>
          <w:color w:val="000000"/>
          <w:spacing w:val="-3"/>
          <w:szCs w:val="22"/>
        </w:rPr>
        <w:t xml:space="preserve">, para abertura às </w:t>
      </w:r>
      <w:r>
        <w:rPr>
          <w:b/>
          <w:color w:val="000000"/>
          <w:spacing w:val="-3"/>
          <w:szCs w:val="22"/>
        </w:rPr>
        <w:t>14h</w:t>
      </w:r>
      <w:r>
        <w:rPr>
          <w:b/>
          <w:color w:val="000000"/>
          <w:spacing w:val="-3"/>
          <w:szCs w:val="22"/>
        </w:rPr>
        <w:t xml:space="preserve"> do dia </w:t>
      </w:r>
      <w:r>
        <w:rPr>
          <w:b/>
          <w:color w:val="000000"/>
          <w:spacing w:val="-3"/>
          <w:szCs w:val="22"/>
        </w:rPr>
        <w:t xml:space="preserve">23 </w:t>
      </w:r>
      <w:r>
        <w:rPr>
          <w:b/>
          <w:color w:val="000000"/>
          <w:spacing w:val="-3"/>
          <w:szCs w:val="22"/>
        </w:rPr>
        <w:t xml:space="preserve">de janeiro </w:t>
      </w:r>
      <w:r>
        <w:rPr>
          <w:b/>
          <w:color w:val="000000"/>
          <w:spacing w:val="-3"/>
          <w:szCs w:val="22"/>
        </w:rPr>
        <w:t>de 2020.</w:t>
      </w:r>
      <w:r>
        <w:rPr>
          <w:b/>
          <w:color w:val="000000"/>
          <w:spacing w:val="-3"/>
          <w:szCs w:val="22"/>
        </w:rPr>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São Domingos do Norte/ES, ......../.........../..........</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E-MAIL</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TELEFONE/FAX</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 xml:space="preserve">ASSINATURA </w:t>
      </w:r>
    </w:p>
    <w:p>
      <w:pPr>
        <w:spacing w:before="0"/>
        <w:rPr>
          <w:color w:val="000000"/>
          <w:sz w:val="22"/>
          <w:szCs w:val="22"/>
        </w:rPr>
      </w:pPr>
      <w:r>
        <w:rPr>
          <w:color w:val="000000"/>
          <w:sz w:val="22"/>
          <w:szCs w:val="22"/>
        </w:rPr>
      </w:r>
    </w:p>
    <w:p>
      <w:pPr>
        <w:pStyle w:val="para4"/>
        <w:ind w:left="0"/>
        <w:spacing w:before="0"/>
        <w:jc w:val="left"/>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NOME DA EMPRESA E CARIMBO DE CNPJ</w:t>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pStyle w:val="para32"/>
        <w:spacing w:before="0" w:after="0"/>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04/2020 - FMS - SRP                                                  </w:t>
      </w:r>
    </w:p>
    <w:p>
      <w:pPr>
        <w:spacing w:before="0"/>
        <w:jc w:val="both"/>
        <w:rPr>
          <w:color w:val="000000"/>
          <w:sz w:val="22"/>
          <w:szCs w:val="22"/>
        </w:rPr>
      </w:pPr>
      <w:r>
        <w:rPr>
          <w:color w:val="000000"/>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13.953.742/0001-83 por meio do Fundo Municipal de Saúde de São Domingos do Norte torna público para conhecimento dos interessados, que realizará licitação na modalidade "Pregão Presencial", do tipo “Menor Preço por lote”, para </w:t>
      </w:r>
      <w:r>
        <w:rPr>
          <w:b/>
          <w:bCs/>
          <w:color w:val="000000"/>
          <w:sz w:val="22"/>
          <w:szCs w:val="22"/>
        </w:rPr>
        <w:t>AQUISIÇÃO DE MATERIAL DE CONSUMO</w:t>
      </w:r>
      <w:r>
        <w:rPr>
          <w:color w:val="000000"/>
          <w:sz w:val="22"/>
          <w:szCs w:val="22"/>
        </w:rPr>
        <w:t>, conforme Processo n</w:t>
      </w:r>
      <w:r>
        <w:rPr>
          <w:color w:val="000000"/>
          <w:sz w:val="22"/>
          <w:szCs w:val="22"/>
          <w:u w:color="auto" w:val="single"/>
          <w:vertAlign w:val="superscript"/>
        </w:rPr>
        <w:t>o</w:t>
      </w:r>
      <w:r>
        <w:rPr>
          <w:color w:val="000000"/>
          <w:sz w:val="22"/>
          <w:szCs w:val="22"/>
        </w:rPr>
        <w:t xml:space="preserve"> 5251/2019, devidamente aprovado pela autoridade competente. O Pregão será realizado pelo pregoeiro e Equipe de Apoio, designados pela Portaria N</w:t>
      </w:r>
      <w:r>
        <w:rPr>
          <w:color w:val="000000"/>
          <w:sz w:val="22"/>
          <w:szCs w:val="22"/>
          <w:u w:color="auto" w:val="single"/>
          <w:vertAlign w:val="superscript"/>
        </w:rPr>
        <w:t>o</w:t>
      </w:r>
      <w:r>
        <w:rPr>
          <w:color w:val="000000"/>
          <w:sz w:val="22"/>
          <w:szCs w:val="22"/>
        </w:rPr>
        <w:t xml:space="preserve"> 7.627, de 01/04/2019, publicada em 01/04/2019,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Decreto Federal 3.555/00, Decreto Federal 9.488/2018 e Decreto Municipal 1.663 de 11/06/2019 bem como pelas demais normas pertinentes e condições estabelecidas no presente Edital.</w:t>
      </w: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Será aplicada a exclusividade para ME’S e EPP’s nos lotes 03 e 04 nos art. 48, I da LC 123/06, não havendo justificativa legal para não aplicação da exclusividade</w:t>
      </w:r>
      <w:r>
        <w:rPr>
          <w:color w:val="000000"/>
          <w:sz w:val="22"/>
          <w:szCs w:val="22"/>
        </w:rPr>
        <w:t>.</w:t>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denominada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13h do dia </w:t>
      </w:r>
      <w:r>
        <w:rPr>
          <w:b/>
          <w:color w:val="000000"/>
          <w:sz w:val="22"/>
          <w:szCs w:val="22"/>
        </w:rPr>
        <w:t>23/0</w:t>
      </w:r>
      <w:r>
        <w:rPr>
          <w:b/>
          <w:color w:val="000000"/>
          <w:sz w:val="22"/>
          <w:szCs w:val="22"/>
        </w:rPr>
        <w:t>1/2020.</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às 13h30 do dia</w:t>
      </w:r>
      <w:r>
        <w:rPr>
          <w:b/>
          <w:color w:val="000000"/>
          <w:sz w:val="22"/>
          <w:szCs w:val="22"/>
        </w:rPr>
        <w:t xml:space="preserve"> </w:t>
      </w:r>
      <w:r>
        <w:rPr>
          <w:b/>
          <w:color w:val="000000"/>
          <w:sz w:val="22"/>
          <w:szCs w:val="22"/>
        </w:rPr>
        <w:t>23/0</w:t>
      </w:r>
      <w:r>
        <w:rPr>
          <w:b/>
          <w:color w:val="000000"/>
          <w:sz w:val="22"/>
          <w:szCs w:val="22"/>
        </w:rPr>
        <w:t>1/2020.</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até 14h do </w:t>
      </w:r>
      <w:r>
        <w:rPr>
          <w:b/>
          <w:color w:val="000000"/>
          <w:sz w:val="22"/>
          <w:szCs w:val="22"/>
        </w:rPr>
        <w:t>23/0</w:t>
      </w:r>
      <w:r>
        <w:rPr>
          <w:b/>
          <w:color w:val="000000"/>
          <w:sz w:val="22"/>
          <w:szCs w:val="22"/>
        </w:rPr>
        <w:t>1/2020.</w:t>
      </w:r>
      <w:r>
        <w:rPr>
          <w:b/>
          <w:color w:val="000000"/>
          <w:sz w:val="22"/>
          <w:szCs w:val="22"/>
        </w:rPr>
      </w:r>
    </w:p>
    <w:p>
      <w:pPr>
        <w:spacing w:before="0"/>
        <w:jc w:val="both"/>
        <w:rPr>
          <w:rFonts w:eastAsia="Batang"/>
          <w:color w:val="000000"/>
          <w:sz w:val="22"/>
          <w:szCs w:val="22"/>
        </w:rPr>
      </w:pPr>
      <w:r>
        <w:rPr>
          <w:rFonts w:eastAsia="Batang"/>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04/2020 - FMS - </w:t>
      </w:r>
      <w:r>
        <w:rPr>
          <w:rFonts w:eastAsia="Batang"/>
          <w:color w:val="000000"/>
          <w:sz w:val="22"/>
          <w:szCs w:val="22"/>
        </w:rPr>
        <w:t xml:space="preserve">Envelope nº 001 – </w:t>
      </w:r>
      <w:r>
        <w:rPr>
          <w:rFonts w:eastAsia="Batang"/>
          <w:b/>
          <w:bCs/>
          <w:color w:val="000000"/>
          <w:sz w:val="22"/>
          <w:szCs w:val="22"/>
        </w:rPr>
        <w:t>PROPOSTA”</w:t>
      </w:r>
      <w:r>
        <w:rPr>
          <w:rFonts w:eastAsia="Batang"/>
          <w:color w:val="000000"/>
          <w:sz w:val="22"/>
          <w:szCs w:val="22"/>
        </w:rPr>
        <w:t>;</w:t>
      </w:r>
      <w:r>
        <w:rPr>
          <w:rFonts w:eastAsia="Batang"/>
          <w:color w:val="000000"/>
          <w:sz w:val="22"/>
          <w:szCs w:val="22"/>
        </w:rPr>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04/2020 - FMS – </w:t>
      </w:r>
      <w:r>
        <w:rPr>
          <w:rFonts w:eastAsia="Batang"/>
          <w:color w:val="000000"/>
          <w:sz w:val="22"/>
          <w:szCs w:val="22"/>
        </w:rPr>
        <w:t xml:space="preserve">Envelope nº 002 – </w:t>
      </w:r>
      <w:r>
        <w:rPr>
          <w:rFonts w:eastAsia="Batang"/>
          <w:b/>
          <w:bCs/>
          <w:color w:val="000000"/>
          <w:sz w:val="22"/>
          <w:szCs w:val="22"/>
        </w:rPr>
        <w:t>HABILITAÇÃO</w:t>
      </w:r>
      <w:r>
        <w:rPr>
          <w:rFonts w:eastAsia="Batang"/>
          <w:color w:val="000000"/>
          <w:sz w:val="22"/>
          <w:szCs w:val="22"/>
        </w:rPr>
        <w:t>".</w:t>
      </w:r>
      <w:r>
        <w:rPr>
          <w:rFonts w:eastAsia="Batang"/>
          <w:color w:val="000000"/>
          <w:sz w:val="22"/>
          <w:szCs w:val="22"/>
        </w:rPr>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rFonts w:eastAsia="Batang"/>
          <w:color w:val="000000"/>
          <w:sz w:val="22"/>
          <w:szCs w:val="22"/>
        </w:rPr>
      </w:pPr>
      <w:r>
        <w:rPr>
          <w:color w:val="000000"/>
          <w:sz w:val="22"/>
          <w:szCs w:val="22"/>
        </w:rPr>
        <w:t xml:space="preserve">2.1. </w:t>
      </w:r>
      <w:r>
        <w:rPr>
          <w:rFonts w:eastAsia="Batang"/>
          <w:color w:val="000000"/>
          <w:sz w:val="22"/>
          <w:szCs w:val="22"/>
        </w:rPr>
        <w:t>Aquisição de combustíveis para serem usados nos veículos lotados na  Secretaria de Saúde desta Prefeitura Municipal de São Domingos do Norte. Estes se fazem necessários para atender as necessidades dos funcionários  quanto as dos munícipes,  para o exercício de 2020.</w:t>
      </w:r>
      <w:r>
        <w:rPr>
          <w:rFonts w:eastAsia="Batang"/>
          <w:color w:val="000000"/>
          <w:sz w:val="22"/>
          <w:szCs w:val="22"/>
        </w:rPr>
      </w:r>
    </w:p>
    <w:p>
      <w:pPr>
        <w:spacing w:before="0"/>
        <w:jc w:val="both"/>
        <w:rPr>
          <w:rFonts w:eastAsia="Batang"/>
          <w:color w:val="000000"/>
          <w:sz w:val="22"/>
          <w:szCs w:val="22"/>
        </w:rPr>
      </w:pPr>
      <w:r>
        <w:rPr>
          <w:rFonts w:eastAsia="Batang"/>
          <w:color w:val="000000"/>
          <w:sz w:val="22"/>
          <w:szCs w:val="22"/>
        </w:rPr>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color w:val="000000"/>
          <w:sz w:val="22"/>
          <w:szCs w:val="22"/>
        </w:rPr>
      </w:pPr>
      <w:r>
        <w:rPr>
          <w:color w:val="000000"/>
          <w:sz w:val="22"/>
          <w:szCs w:val="22"/>
        </w:rPr>
        <w:t>3.1. O recebimento do objeto da presente licitação se fará na forma estabelecida neste Edital e Termo de Referência, anexo VIII deste Edital.</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 da presente licitação serão pagos com recurso consignados no orçamento municipal.</w:t>
      </w:r>
    </w:p>
    <w:p>
      <w:pPr>
        <w:spacing w:before="0"/>
        <w:jc w:val="both"/>
        <w:rPr>
          <w:b/>
          <w:color w:val="000000"/>
          <w:sz w:val="22"/>
          <w:szCs w:val="22"/>
        </w:rPr>
      </w:pPr>
      <w:r>
        <w:rPr>
          <w:b/>
          <w:color w:val="000000"/>
          <w:sz w:val="22"/>
          <w:szCs w:val="22"/>
        </w:rPr>
        <w:t>Fundo Municipal de Saúde</w:t>
      </w:r>
    </w:p>
    <w:p>
      <w:pPr>
        <w:spacing w:before="0"/>
        <w:jc w:val="both"/>
        <w:rPr>
          <w:b/>
          <w:color w:val="000000"/>
          <w:sz w:val="22"/>
          <w:szCs w:val="22"/>
        </w:rPr>
      </w:pPr>
      <w:r>
        <w:rPr>
          <w:b/>
          <w:color w:val="000000"/>
          <w:sz w:val="22"/>
          <w:szCs w:val="22"/>
        </w:rPr>
        <w:t>Fichas: 10 - 1211, 50 - 1212, 64 - 1212, 89 - 1212, 97 - 1212.</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Os preços serão estabelecidos em conformidade com a Cláusula da Minuta do Contrato, Anexo X deste Edital.</w:t>
      </w:r>
    </w:p>
    <w:p>
      <w:pPr>
        <w:spacing w:before="0"/>
        <w:jc w:val="both"/>
        <w:rPr>
          <w:color w:val="000000"/>
          <w:sz w:val="22"/>
          <w:szCs w:val="22"/>
        </w:rPr>
      </w:pPr>
      <w:r>
        <w:rPr>
          <w:color w:val="000000"/>
          <w:sz w:val="22"/>
          <w:szCs w:val="22"/>
        </w:rPr>
        <w:t xml:space="preserve">6.2. O pagamento será efetuado, mediante Termo de Recebimento dos produtos, emitido pela Secretaria requisitante, em até 15 (quinze) dias, após a aceitação e atestados das Notas Fiscais emitidos pelo fiscal do contrato e Ata de Registro de Preços.  </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(doze) meses de acordo com a ata de registro de preços, conforme indicado neste edital.</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(a),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t>10.4. Para as empresas ME e EPP’s, será necessário apresentar o anexo XII juntamente com os demais documentos do item 10.3 para poderem usurfruir dos benefícios da Lei 123/2006.</w:t>
      </w:r>
    </w:p>
    <w:p>
      <w:pPr>
        <w:spacing w:before="0"/>
        <w:jc w:val="both"/>
        <w:rPr>
          <w:rFonts w:eastAsia="BookmanOldStyle"/>
          <w:b/>
          <w:color w:val="000000"/>
          <w:sz w:val="22"/>
          <w:szCs w:val="22"/>
        </w:rPr>
      </w:pPr>
      <w:r>
        <w:rPr>
          <w:rFonts w:eastAsia="BookmanOldStyle"/>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pela Pregoeira,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color w:val="000000"/>
          <w:sz w:val="22"/>
          <w:szCs w:val="22"/>
        </w:rPr>
      </w:pPr>
      <w:r>
        <w:rPr>
          <w:color w:val="000000"/>
          <w:sz w:val="22"/>
          <w:szCs w:val="22"/>
        </w:rPr>
        <w:t>15.1. Serão consideradas classificadas para a fase de lances verbais a proposta de menor preço por lote e todas aquelas com preços situados no intervalo de até 10% acima daquele.</w:t>
      </w:r>
    </w:p>
    <w:p>
      <w:pPr>
        <w:spacing w:before="0"/>
        <w:jc w:val="both"/>
        <w:rPr>
          <w:color w:val="000000"/>
          <w:sz w:val="22"/>
          <w:szCs w:val="22"/>
        </w:rPr>
      </w:pPr>
      <w:r>
        <w:rPr>
          <w:color w:val="000000"/>
          <w:sz w:val="22"/>
          <w:szCs w:val="22"/>
        </w:rPr>
        <w:t>15.2. Quando não houver no mínimo 3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pPr>
        <w:spacing w:before="0"/>
        <w:jc w:val="both"/>
        <w:rPr>
          <w:color w:val="000000"/>
          <w:sz w:val="22"/>
          <w:szCs w:val="22"/>
        </w:rPr>
      </w:pPr>
      <w:r>
        <w:rPr>
          <w:color w:val="000000"/>
          <w:sz w:val="22"/>
          <w:szCs w:val="22"/>
        </w:rPr>
        <w:t>15.3. Para as proponentes classificadas será facultada a apresentação verbal de lances sucessivos, de valores distintos e decrescentes, encerrando-se essa fase quando não houver mais lances.</w:t>
      </w:r>
    </w:p>
    <w:p>
      <w:pPr>
        <w:spacing w:before="0"/>
        <w:jc w:val="both"/>
        <w:rPr>
          <w:color w:val="000000"/>
          <w:sz w:val="22"/>
          <w:szCs w:val="22"/>
        </w:rPr>
      </w:pPr>
      <w:r>
        <w:rPr>
          <w:color w:val="000000"/>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color w:val="000000"/>
          <w:sz w:val="22"/>
          <w:szCs w:val="22"/>
        </w:rPr>
      </w:pPr>
      <w:r>
        <w:rPr>
          <w:color w:val="000000"/>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color w:val="000000"/>
          <w:sz w:val="22"/>
          <w:szCs w:val="22"/>
        </w:rPr>
      </w:pPr>
      <w:r>
        <w:rPr>
          <w:color w:val="000000"/>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color w:val="000000"/>
          <w:sz w:val="22"/>
          <w:szCs w:val="22"/>
        </w:rPr>
      </w:pPr>
      <w:r>
        <w:rPr>
          <w:color w:val="000000"/>
          <w:sz w:val="22"/>
          <w:szCs w:val="22"/>
        </w:rPr>
        <w:t>15.7. Caso haja empate no valor das propostas escritas, o Pregoeiro decidirá por sorteio à ordem dos lances verbais.</w:t>
      </w:r>
    </w:p>
    <w:p>
      <w:pPr>
        <w:spacing w:before="0"/>
        <w:jc w:val="both"/>
        <w:rPr>
          <w:color w:val="000000"/>
          <w:sz w:val="22"/>
          <w:szCs w:val="22"/>
        </w:rPr>
      </w:pPr>
      <w:r>
        <w:rPr>
          <w:color w:val="000000"/>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color w:val="000000"/>
          <w:sz w:val="22"/>
          <w:szCs w:val="22"/>
        </w:rPr>
      </w:pPr>
      <w:r>
        <w:rPr>
          <w:color w:val="000000"/>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color w:val="000000"/>
          <w:sz w:val="22"/>
          <w:szCs w:val="22"/>
        </w:rPr>
      </w:pPr>
      <w:r>
        <w:rPr>
          <w:color w:val="000000"/>
          <w:sz w:val="22"/>
          <w:szCs w:val="22"/>
        </w:rPr>
        <w:t>15.10. A presente licitação será julgada sob o critério de menor preço por lote.</w:t>
      </w:r>
    </w:p>
    <w:p>
      <w:pPr>
        <w:spacing w:before="0"/>
        <w:jc w:val="both"/>
        <w:rPr>
          <w:color w:val="000000"/>
          <w:sz w:val="22"/>
          <w:szCs w:val="22"/>
        </w:rPr>
      </w:pPr>
      <w:r>
        <w:rPr>
          <w:color w:val="000000"/>
          <w:sz w:val="22"/>
          <w:szCs w:val="22"/>
        </w:rPr>
        <w:t>15.11. Aberta a sessão pública, o pregoeiro verificará as propostas apresentadas, desclassificando aquelas que não estejam em conformidade com os requisitos estabelecidos no edital.</w:t>
      </w:r>
    </w:p>
    <w:p>
      <w:pPr>
        <w:spacing w:before="0"/>
        <w:jc w:val="both"/>
        <w:rPr>
          <w:color w:val="000000"/>
          <w:sz w:val="22"/>
          <w:szCs w:val="22"/>
        </w:rPr>
      </w:pPr>
      <w:r>
        <w:rPr>
          <w:color w:val="000000"/>
          <w:sz w:val="22"/>
          <w:szCs w:val="22"/>
        </w:rPr>
        <w:t>15.12. A desclassificação de proposta será fundamentada e registrada.</w:t>
      </w:r>
    </w:p>
    <w:p>
      <w:pPr>
        <w:spacing w:before="0"/>
        <w:jc w:val="both"/>
        <w:rPr>
          <w:color w:val="000000"/>
          <w:sz w:val="22"/>
          <w:szCs w:val="22"/>
        </w:rPr>
      </w:pPr>
      <w:r>
        <w:rPr>
          <w:color w:val="000000"/>
          <w:sz w:val="22"/>
          <w:szCs w:val="22"/>
        </w:rPr>
        <w:t>15.13. Classificadas as propostas, o pregoeiro dará início à fase competitiva, quando então os licitantes poderão apresentar lances.</w:t>
      </w:r>
    </w:p>
    <w:p>
      <w:pPr>
        <w:spacing w:before="0"/>
        <w:jc w:val="both"/>
        <w:rPr>
          <w:color w:val="000000"/>
          <w:sz w:val="22"/>
          <w:szCs w:val="22"/>
        </w:rPr>
      </w:pPr>
      <w:r>
        <w:rPr>
          <w:color w:val="000000"/>
          <w:sz w:val="22"/>
          <w:szCs w:val="22"/>
        </w:rPr>
        <w:t>15.14.  Os licitantes poderão oferecer lances sucessivos, observados o horário fixado para abertura da sessão e as regras estabelecidas neste edital.</w:t>
      </w:r>
    </w:p>
    <w:p>
      <w:pPr>
        <w:spacing w:before="0"/>
        <w:jc w:val="both"/>
        <w:rPr>
          <w:color w:val="000000"/>
          <w:sz w:val="22"/>
          <w:szCs w:val="22"/>
        </w:rPr>
      </w:pPr>
      <w:r>
        <w:rPr>
          <w:color w:val="000000"/>
          <w:sz w:val="22"/>
          <w:szCs w:val="22"/>
        </w:rPr>
        <w:t>15.15. O licitante somente poderá oferecer lance inferior ao último por ele.</w:t>
      </w:r>
    </w:p>
    <w:p>
      <w:pPr>
        <w:spacing w:before="0"/>
        <w:jc w:val="both"/>
        <w:rPr>
          <w:color w:val="000000"/>
          <w:sz w:val="22"/>
          <w:szCs w:val="22"/>
        </w:rPr>
      </w:pPr>
      <w:r>
        <w:rPr>
          <w:color w:val="000000"/>
          <w:sz w:val="22"/>
          <w:szCs w:val="22"/>
        </w:rPr>
        <w:t>15.16. Não serão aceitos dois ou mais lances iguais, prevalecendo aquele que for recebido e registrado primeiro.</w:t>
      </w:r>
    </w:p>
    <w:p>
      <w:pPr>
        <w:spacing w:before="0"/>
        <w:jc w:val="both"/>
        <w:rPr>
          <w:color w:val="000000"/>
          <w:sz w:val="22"/>
          <w:szCs w:val="22"/>
        </w:rPr>
      </w:pPr>
      <w:r>
        <w:rPr>
          <w:color w:val="000000"/>
          <w:sz w:val="22"/>
          <w:szCs w:val="22"/>
        </w:rPr>
        <w:t>15.17. Durante a sessão pública, os licitantes serão informados, do valor do menor lance registrado.</w:t>
      </w:r>
    </w:p>
    <w:p>
      <w:pPr>
        <w:spacing w:before="0"/>
        <w:jc w:val="both"/>
        <w:rPr>
          <w:color w:val="000000"/>
          <w:sz w:val="22"/>
          <w:szCs w:val="22"/>
        </w:rPr>
      </w:pPr>
      <w:r>
        <w:rPr>
          <w:color w:val="000000"/>
          <w:sz w:val="22"/>
          <w:szCs w:val="22"/>
        </w:rPr>
        <w:t>15.18. A etapa de lances da sessão pública será encerrada por decisão do pregoeiro, após comunicar a todos os participantes.</w:t>
      </w:r>
    </w:p>
    <w:p>
      <w:pPr>
        <w:spacing w:before="0"/>
        <w:jc w:val="both"/>
        <w:rPr>
          <w:color w:val="000000"/>
          <w:sz w:val="22"/>
          <w:szCs w:val="22"/>
        </w:rPr>
      </w:pPr>
      <w:r>
        <w:rPr>
          <w:color w:val="00000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color w:val="000000"/>
          <w:sz w:val="22"/>
          <w:szCs w:val="22"/>
        </w:rPr>
      </w:pPr>
      <w:r>
        <w:rPr>
          <w:color w:val="000000"/>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 E ASSINAR O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e do Contrato,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 xml:space="preserve">19.1.3. </w:t>
      </w:r>
      <w:r/>
      <w:bookmarkStart w:id="0" w:name="_GoBack"/>
      <w:bookmarkEnd w:id="0"/>
      <w:r/>
      <w:r>
        <w:rPr>
          <w:color w:val="000000"/>
          <w:sz w:val="22"/>
          <w:szCs w:val="22"/>
        </w:rPr>
        <w:t>A</w:t>
      </w:r>
      <w:r>
        <w:rPr>
          <w:color w:val="000000"/>
          <w:sz w:val="22"/>
          <w:szCs w:val="22"/>
        </w:rPr>
        <w:t xml:space="preserve"> aplicação da multa de mora não impede que a Administração rescinda unilateralmente o contrato e aplique as outras sanções previstas na Lei Federal nº. 8.666/93.</w:t>
      </w:r>
      <w:r>
        <w:rPr>
          <w:color w:val="000000"/>
          <w:sz w:val="22"/>
          <w:szCs w:val="22"/>
        </w:rPr>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20. DA ENTREGA E DO ABASTECIMENTO</w:t>
      </w:r>
    </w:p>
    <w:p>
      <w:pPr>
        <w:pStyle w:val="para37"/>
        <w:spacing w:before="0"/>
        <w:jc w:val="both"/>
        <w:widowControl w:val="0"/>
        <w:rPr>
          <w:rFonts w:ascii="Times New Roman" w:hAnsi="Times New Roman"/>
          <w:color w:val="000000"/>
        </w:rPr>
      </w:pPr>
      <w:r>
        <w:rPr>
          <w:rFonts w:ascii="Times New Roman" w:hAnsi="Times New Roman"/>
          <w:color w:val="000000"/>
        </w:rPr>
        <w:t>a) O abastecimento será contínuo e fracionado de acordo com as necessidades da PMSDN/ES. “Em “postos pertencentes à contratada ou por ela credenciada de acordo com a distância estabelecida na alínea” b” deste item.</w:t>
      </w:r>
    </w:p>
    <w:p>
      <w:pPr>
        <w:pStyle w:val="para37"/>
        <w:spacing w:before="0"/>
        <w:jc w:val="both"/>
        <w:widowControl w:val="0"/>
        <w:rPr>
          <w:rFonts w:ascii="Times New Roman" w:hAnsi="Times New Roman" w:eastAsia="Times New Roman"/>
        </w:rPr>
      </w:pPr>
      <w:r>
        <w:rPr>
          <w:rFonts w:ascii="Times New Roman" w:hAnsi="Times New Roman" w:eastAsia="Times New Roman"/>
          <w:color w:val="000000"/>
        </w:rPr>
        <w:t xml:space="preserve">b) A contratada se obrigará a manter o posto de abastecimentos credenciado e em operação, até a distância máxima de 10 (dez) quilômetros da sede da Prefeitura Municipal de São Domingos do Norte, cujo endereço consta no preâmbulo deste edital; </w:t>
      </w:r>
      <w:r>
        <w:rPr>
          <w:rFonts w:ascii="Times New Roman" w:hAnsi="Times New Roman" w:eastAsia="Times New Roman"/>
        </w:rPr>
        <w:t>distância essa considerada de ida e volta, caso ultrapasse essa distância de 10 (dez) quilômetros, a contratada arcará com a despesa dos combustíveis gastos acima desse trajeto.</w:t>
      </w:r>
    </w:p>
    <w:p>
      <w:pPr>
        <w:pStyle w:val="para37"/>
        <w:spacing w:before="0"/>
        <w:jc w:val="both"/>
        <w:widowControl w:val="0"/>
        <w:rPr>
          <w:rFonts w:ascii="Times New Roman" w:hAnsi="Times New Roman"/>
          <w:color w:val="000000"/>
        </w:rPr>
      </w:pPr>
      <w:r>
        <w:rPr>
          <w:rFonts w:ascii="Times New Roman" w:hAnsi="Times New Roman"/>
          <w:color w:val="000000"/>
        </w:rPr>
        <w:t>c) A Contratada se obrigará a realizar o abastecimento com os combustíveis em quantidade solicitados, após a requisição emitida. A contratada deverá estar apta a fornecer o produto imediatamente após assinatura do contrato.</w:t>
      </w:r>
    </w:p>
    <w:p>
      <w:pPr>
        <w:pStyle w:val="para37"/>
        <w:spacing w:before="0"/>
        <w:jc w:val="both"/>
        <w:widowControl w:val="0"/>
        <w:rPr>
          <w:rFonts w:ascii="Times New Roman" w:hAnsi="Times New Roman"/>
          <w:color w:val="000000"/>
        </w:rPr>
      </w:pPr>
      <w:r>
        <w:rPr>
          <w:rFonts w:ascii="Times New Roman" w:hAnsi="Times New Roman"/>
          <w:color w:val="000000"/>
        </w:rPr>
        <w:t>d) O prazo para pagamento será de até 15 (quinze) dias contados da ata de protocolização e aceitação pelo Contratante da Nota Fiscal/Fatura correspondente, devidamente atestada pelo Gestor do Contrato. O pagamento da Nota Fiscal/fatura fica condicionado ao cumprimento dos critérios de recebimento.</w:t>
      </w:r>
    </w:p>
    <w:p>
      <w:pPr>
        <w:pStyle w:val="para37"/>
        <w:spacing w:before="0"/>
        <w:jc w:val="both"/>
        <w:widowControl w:val="0"/>
        <w:rPr>
          <w:rFonts w:ascii="Times New Roman" w:hAnsi="Times New Roman"/>
          <w:color w:val="000000"/>
        </w:rPr>
      </w:pPr>
      <w:r>
        <w:rPr>
          <w:rFonts w:ascii="Times New Roman" w:hAnsi="Times New Roman"/>
          <w:color w:val="000000"/>
        </w:rPr>
        <w:t>e) Para habilitar-se ao pagamento a contratada deverá protocolar na PMSDN/ES Nota Fiscal, até o 5º (quinto) dia do mês subsequente ao mês de referência, especificando o abastecimento e seus correspondentes valores em moeda corrente nacional, devendo estar formalmente atestado pelo gestor do contrato.</w:t>
      </w:r>
    </w:p>
    <w:p>
      <w:pPr>
        <w:pStyle w:val="para37"/>
        <w:spacing w:before="0"/>
        <w:jc w:val="both"/>
        <w:widowControl w:val="0"/>
        <w:rPr>
          <w:rFonts w:ascii="Times New Roman" w:hAnsi="Times New Roman"/>
          <w:color w:val="000000"/>
        </w:rPr>
      </w:pPr>
      <w:r>
        <w:rPr>
          <w:rFonts w:ascii="Times New Roman" w:hAnsi="Times New Roman"/>
          <w:color w:val="000000"/>
        </w:rPr>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b/>
          <w:kern w:val="1"/>
          <w:sz w:val="22"/>
          <w:szCs w:val="22"/>
        </w:rPr>
      </w:pPr>
      <w:r>
        <w:rPr>
          <w:rFonts w:eastAsia="Calibri"/>
          <w:b/>
          <w:kern w:val="1"/>
          <w:sz w:val="22"/>
          <w:szCs w:val="22"/>
        </w:rPr>
        <w:t>21 - DA MICROEMPRESA OU EMPRESA DE PEQUENO PORTE (ME OU EPP)</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rPr>
      </w:pPr>
      <w:r>
        <w:rPr>
          <w:rFonts w:eastAsia="Calibri"/>
          <w:kern w:val="1"/>
          <w:sz w:val="22"/>
          <w:szCs w:val="22"/>
        </w:rPr>
        <w:t>21.1 A licitante microempresa ou empresa de pequeno porte que desejar usufruir do regime diferenciado e favorecido, disciplinado na Lei Complementar nº 123, de 14 de Dezembro de 2006, deverá apresentar no ato do credenciamento, declaração conforme anexo X, de que cumpre as exigências legais previstas na Lei e atendem aos requisitos do art. 3º da referida Lei Complementar, acompanhada da Certidão Simplificada da Junta Comercial que comprove tal situação.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rPr>
      </w:pPr>
      <w:r>
        <w:rPr>
          <w:rFonts w:eastAsia="Calibri"/>
          <w:kern w:val="1"/>
          <w:sz w:val="22"/>
          <w:szCs w:val="22"/>
        </w:rPr>
        <w:t>21.2 Não poderão pleitear os benefícios do citado regime favorecido e diferenciado os licitantes abrangidos nas hipóteses do § 4º, do art. 3º, da citada Lei Complementar.</w:t>
      </w:r>
    </w:p>
    <w:p>
      <w:pPr>
        <w:spacing w:before="0"/>
        <w:jc w:val="left"/>
        <w:widowControl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SimSun"/>
          <w:kern w:val="1"/>
        </w:rPr>
      </w:pPr>
      <w:r>
        <w:rPr>
          <w:rFonts w:eastAsia="SimSun"/>
          <w:kern w:val="1"/>
        </w:rPr>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rPr>
          <w:color w:val="000000"/>
          <w:sz w:val="22"/>
          <w:szCs w:val="22"/>
        </w:rPr>
      </w:pPr>
      <w:r>
        <w:rPr>
          <w:color w:val="000000"/>
          <w:sz w:val="22"/>
          <w:szCs w:val="22"/>
        </w:rPr>
      </w:r>
    </w:p>
    <w:p>
      <w:pPr>
        <w:pStyle w:val="para23"/>
        <w:numPr>
          <w:ilvl w:val="0"/>
          <w:numId w:val="0"/>
        </w:numPr>
        <w:ind w:left="0" w:firstLine="0"/>
        <w:spacing w:before="0"/>
        <w:rPr>
          <w:color w:val="000000"/>
          <w:sz w:val="22"/>
          <w:szCs w:val="22"/>
        </w:rPr>
      </w:pPr>
      <w:r>
        <w:rPr>
          <w:color w:val="000000"/>
          <w:sz w:val="22"/>
          <w:szCs w:val="22"/>
        </w:rPr>
      </w:r>
    </w:p>
    <w:p>
      <w:pPr>
        <w:pStyle w:val="para23"/>
        <w:numPr>
          <w:ilvl w:val="0"/>
          <w:numId w:val="0"/>
        </w:numPr>
        <w:ind w:left="0" w:firstLine="0"/>
        <w:spacing w:before="0"/>
        <w:rPr>
          <w:color w:val="000000"/>
          <w:sz w:val="22"/>
          <w:szCs w:val="22"/>
        </w:rPr>
      </w:pPr>
      <w:r>
        <w:rPr>
          <w:color w:val="000000"/>
          <w:sz w:val="22"/>
          <w:szCs w:val="22"/>
        </w:rPr>
        <w:t>São Domingos do Norte/ES, 08 de janeiro de 2020.</w:t>
      </w:r>
    </w:p>
    <w:p>
      <w:pPr>
        <w:pStyle w:val="para23"/>
        <w:numPr>
          <w:ilvl w:val="0"/>
          <w:numId w:val="0"/>
        </w:numPr>
        <w:ind w:left="0" w:firstLine="0"/>
        <w:spacing w:before="0"/>
        <w:rPr>
          <w:color w:val="000000"/>
          <w:sz w:val="22"/>
          <w:szCs w:val="22"/>
        </w:rPr>
      </w:pPr>
      <w:r>
        <w:rPr>
          <w:color w:val="000000"/>
          <w:sz w:val="22"/>
          <w:szCs w:val="22"/>
        </w:rPr>
      </w:r>
    </w:p>
    <w:p>
      <w:pPr>
        <w:pStyle w:val="para23"/>
        <w:numPr>
          <w:ilvl w:val="0"/>
          <w:numId w:val="0"/>
        </w:numPr>
        <w:ind w:left="0" w:firstLine="0"/>
        <w:spacing w:before="0"/>
        <w:rPr>
          <w:color w:val="000000"/>
          <w:sz w:val="22"/>
          <w:szCs w:val="22"/>
        </w:rPr>
      </w:pPr>
      <w:r>
        <w:rPr>
          <w:color w:val="000000"/>
          <w:sz w:val="22"/>
          <w:szCs w:val="22"/>
        </w:rPr>
      </w:r>
    </w:p>
    <w:p>
      <w:pPr>
        <w:pStyle w:val="para23"/>
        <w:numPr>
          <w:ilvl w:val="0"/>
          <w:numId w:val="0"/>
        </w:numPr>
        <w:ind w:left="0" w:firstLine="0"/>
        <w:spacing w:before="0"/>
        <w:rPr>
          <w:color w:val="000000"/>
          <w:sz w:val="22"/>
          <w:szCs w:val="22"/>
        </w:rPr>
      </w:pPr>
      <w:r>
        <w:rPr>
          <w:color w:val="000000"/>
          <w:sz w:val="22"/>
          <w:szCs w:val="22"/>
        </w:rPr>
      </w:r>
    </w:p>
    <w:p>
      <w:pPr>
        <w:pStyle w:val="para25"/>
        <w:spacing w:before="0" w:after="0"/>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 xml:space="preserve"> Pregoeiro/PMSDN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Evanderson Aragão Colombo</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 xml:space="preserve">ANEXO I </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color w:val="000000"/>
          <w:sz w:val="22"/>
          <w:szCs w:val="22"/>
        </w:rPr>
      </w:pPr>
      <w:r>
        <w:rPr>
          <w:color w:val="000000"/>
          <w:sz w:val="22"/>
          <w:szCs w:val="22"/>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04/2020 - FMS</w:t>
      </w:r>
    </w:p>
    <w:p>
      <w:pPr>
        <w:spacing w:before="0"/>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t>Ao Pregoeiro e/ou Equipe de Apoio</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Prefeitura Municipal de São Domingos do Norte/ES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Prezados Senhores,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Atenciosamente,</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 .......... de ..................... de 2020.</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color w:val="000000"/>
          <w:sz w:val="22"/>
          <w:szCs w:val="22"/>
        </w:rPr>
        <w:t>.......................................................................................</w:t>
      </w:r>
    </w:p>
    <w:p>
      <w:pPr>
        <w:spacing w:before="0"/>
        <w:jc w:val="both"/>
        <w:rPr>
          <w:rFonts w:eastAsia="BookmanOldStyle"/>
          <w:color w:val="000000"/>
          <w:sz w:val="22"/>
          <w:szCs w:val="22"/>
        </w:rPr>
      </w:pPr>
      <w:r>
        <w:rPr>
          <w:rFonts w:eastAsia="BookmanOldStyle"/>
          <w:color w:val="000000"/>
          <w:sz w:val="22"/>
          <w:szCs w:val="22"/>
        </w:rPr>
        <w:t>(Assinatura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04/2020 - FMS</w:t>
      </w:r>
    </w:p>
    <w:p>
      <w:pPr>
        <w:spacing w:before="0"/>
        <w:rPr>
          <w:b/>
          <w:color w:val="000000"/>
          <w:sz w:val="22"/>
          <w:szCs w:val="22"/>
        </w:rPr>
      </w:pPr>
      <w:r>
        <w:rPr>
          <w:b/>
          <w:color w:val="000000"/>
          <w:sz w:val="22"/>
          <w:szCs w:val="22"/>
        </w:rPr>
        <w:t>ANEXO III - PROPOSTA COMERCIAL</w:t>
      </w:r>
    </w:p>
    <w:p>
      <w:pPr>
        <w:spacing w:before="0"/>
        <w:rPr>
          <w:b/>
          <w:color w:val="000000"/>
          <w:sz w:val="22"/>
          <w:szCs w:val="22"/>
        </w:rPr>
      </w:pPr>
      <w:r>
        <w:rPr>
          <w:b/>
          <w:color w:val="000000"/>
          <w:sz w:val="22"/>
          <w:szCs w:val="22"/>
        </w:rPr>
        <w:t>(modelo anexo I ver em pdf)</w:t>
      </w:r>
    </w:p>
    <w:p>
      <w:pPr>
        <w:spacing w:before="0"/>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04/2020 - FMS</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 veículo supracitados, de acordo com todas as condições do PREGÃO PRESENCIAL Nº 04/2020 - FMS e seus anexos.</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do objeto.</w:t>
      </w:r>
    </w:p>
    <w:p>
      <w:pPr>
        <w:pStyle w:val="para25"/>
        <w:spacing w:before="0" w:after="0"/>
        <w:jc w:val="both"/>
        <w:rPr>
          <w:color w:val="000000"/>
          <w:sz w:val="22"/>
          <w:szCs w:val="22"/>
        </w:rPr>
      </w:pPr>
      <w:r>
        <w:rPr>
          <w:color w:val="000000"/>
          <w:sz w:val="22"/>
          <w:szCs w:val="22"/>
        </w:rPr>
        <w:t>c) A Contratada terá que cumprir todos os requisitos conforme o Termo de Referência.</w:t>
      </w:r>
    </w:p>
    <w:p>
      <w:pPr>
        <w:pStyle w:val="para25"/>
        <w:spacing w:before="0" w:after="0"/>
        <w:jc w:val="both"/>
        <w:rPr>
          <w:color w:val="000000"/>
          <w:sz w:val="22"/>
          <w:szCs w:val="22"/>
        </w:rPr>
      </w:pPr>
      <w:r>
        <w:rPr>
          <w:color w:val="000000"/>
          <w:sz w:val="22"/>
          <w:szCs w:val="22"/>
        </w:rPr>
        <w:t>d) Manifesto cumprir plenamente os requisitos de habilitação e que minha proposta está em conformidade com as exigências do instrumento convocatório.</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tabs defTabSz="708"/>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04/2020 - FMS</w:t>
      </w:r>
    </w:p>
    <w:p>
      <w:pPr>
        <w:spacing w:before="0"/>
        <w:tabs defTabSz="708"/>
        <w:rPr>
          <w:b/>
          <w:color w:val="000000"/>
          <w:sz w:val="22"/>
          <w:szCs w:val="22"/>
        </w:rPr>
      </w:pPr>
      <w:r>
        <w:rPr>
          <w:b/>
          <w:color w:val="000000"/>
          <w:sz w:val="22"/>
          <w:szCs w:val="22"/>
        </w:rPr>
        <w:t>ANEXO IV - EXIGÊNCIAS PARA HABILITAÇÃO</w:t>
      </w:r>
    </w:p>
    <w:p>
      <w:pPr>
        <w:spacing w:before="0"/>
        <w:tabs defTabSz="708"/>
        <w:rPr>
          <w:b/>
          <w:color w:val="000000"/>
          <w:sz w:val="22"/>
          <w:szCs w:val="22"/>
        </w:rPr>
      </w:pPr>
      <w:r>
        <w:rPr>
          <w:b/>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tabs defTabSz="708"/>
        <w:rPr>
          <w:color w:val="000000"/>
          <w:sz w:val="22"/>
          <w:szCs w:val="22"/>
          <w:shd w:val="clear" w:fill="fafafa"/>
        </w:rPr>
      </w:pPr>
      <w:r>
        <w:rPr>
          <w:color w:val="000000"/>
          <w:sz w:val="22"/>
          <w:szCs w:val="22"/>
          <w:shd w:val="clear" w:fill="fafafa"/>
        </w:rPr>
        <w:t>Os documentos necessários à habilitação poderão ser apresentados em original, por qualquer processo de cópia autenticada por cartório competente ou por servidor da administração ou publicação em órgão da imprensa oficial.</w:t>
      </w:r>
    </w:p>
    <w:p>
      <w:pPr>
        <w:pStyle w:val="para23"/>
        <w:numPr>
          <w:ilvl w:val="0"/>
          <w:numId w:val="0"/>
        </w:numPr>
        <w:ind w:left="0" w:firstLine="0"/>
        <w:spacing w:before="0"/>
        <w:jc w:val="both"/>
        <w:tabs defTabSz="708"/>
        <w:rPr>
          <w:b/>
          <w:bCs/>
          <w:color w:val="000000"/>
          <w:sz w:val="22"/>
          <w:szCs w:val="22"/>
        </w:rPr>
      </w:pPr>
      <w:r>
        <w:rPr>
          <w:b/>
          <w:bCs/>
          <w:color w:val="000000"/>
          <w:sz w:val="22"/>
          <w:szCs w:val="22"/>
        </w:rPr>
      </w:r>
    </w:p>
    <w:p>
      <w:pPr>
        <w:pStyle w:val="para23"/>
        <w:numPr>
          <w:ilvl w:val="1"/>
          <w:numId w:val="14"/>
        </w:numPr>
        <w:ind w:left="420" w:hanging="420"/>
        <w:spacing w:before="0"/>
        <w:jc w:val="both"/>
        <w:tabs defTabSz="708"/>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tabs defTabSz="708"/>
        <w:rPr>
          <w:bCs/>
          <w:color w:val="000000"/>
          <w:sz w:val="22"/>
          <w:szCs w:val="22"/>
        </w:rPr>
      </w:pPr>
      <w:r>
        <w:rPr>
          <w:bCs/>
          <w:color w:val="000000"/>
          <w:sz w:val="22"/>
          <w:szCs w:val="22"/>
        </w:rPr>
        <w:t>a) Cédula de identidade;</w:t>
      </w:r>
    </w:p>
    <w:p>
      <w:pPr>
        <w:pStyle w:val="para23"/>
        <w:numPr>
          <w:ilvl w:val="0"/>
          <w:numId w:val="0"/>
        </w:numPr>
        <w:ind w:left="0" w:firstLine="0"/>
        <w:spacing w:before="0"/>
        <w:jc w:val="both"/>
        <w:tabs defTabSz="708"/>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tabs defTabSz="708"/>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tabs defTabSz="708"/>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tabs defTabSz="708"/>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spacing w:before="0"/>
        <w:jc w:val="left"/>
        <w:tabs defTabSz="708"/>
        <w:rPr>
          <w:color w:val="000000"/>
          <w:sz w:val="22"/>
          <w:szCs w:val="22"/>
        </w:rPr>
      </w:pPr>
      <w:r>
        <w:rPr>
          <w:color w:val="000000"/>
          <w:sz w:val="22"/>
          <w:szCs w:val="22"/>
        </w:rPr>
      </w:r>
    </w:p>
    <w:p>
      <w:pPr>
        <w:pStyle w:val="para23"/>
        <w:numPr>
          <w:ilvl w:val="1"/>
          <w:numId w:val="14"/>
        </w:numPr>
        <w:ind w:left="420" w:hanging="420"/>
        <w:spacing w:before="0"/>
        <w:jc w:val="both"/>
        <w:tabs defTabSz="708"/>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tabs defTabSz="708"/>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 xml:space="preserve"> </w:t>
      </w:r>
    </w:p>
    <w:p>
      <w:pPr>
        <w:pStyle w:val="para23"/>
        <w:numPr>
          <w:ilvl w:val="0"/>
          <w:numId w:val="0"/>
        </w:numPr>
        <w:ind w:left="0" w:firstLine="0"/>
        <w:spacing w:before="0"/>
        <w:jc w:val="both"/>
        <w:tabs defTabSz="708"/>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tabs defTabSz="708"/>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tabs defTabSz="708"/>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tabs defTabSz="708"/>
        <w:rPr>
          <w:color w:val="000000"/>
          <w:sz w:val="22"/>
          <w:szCs w:val="22"/>
        </w:rPr>
      </w:pPr>
      <w:r>
        <w:rPr>
          <w:color w:val="000000"/>
          <w:sz w:val="22"/>
          <w:szCs w:val="22"/>
        </w:rPr>
        <w:t>f) Certidão Negativa de débitos junto à Justiça do Trabalho (Lei Federal nº 12.440, de 07 de janeiro de 2011)</w:t>
      </w:r>
    </w:p>
    <w:p>
      <w:pPr>
        <w:pStyle w:val="para23"/>
        <w:numPr>
          <w:ilvl w:val="0"/>
          <w:numId w:val="0"/>
        </w:numPr>
        <w:ind w:left="0" w:firstLine="0"/>
        <w:spacing w:before="0"/>
        <w:jc w:val="both"/>
        <w:tabs defTabSz="708"/>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tabs defTabSz="708"/>
        <w:rPr>
          <w:color w:val="000000"/>
          <w:sz w:val="22"/>
          <w:szCs w:val="22"/>
        </w:rPr>
      </w:pPr>
      <w:r>
        <w:rPr>
          <w:color w:val="000000"/>
          <w:sz w:val="22"/>
          <w:szCs w:val="22"/>
        </w:rPr>
        <w:t>h) Certidão Municipal da Sede do município;</w:t>
      </w:r>
    </w:p>
    <w:p>
      <w:pPr>
        <w:pStyle w:val="para23"/>
        <w:numPr>
          <w:ilvl w:val="0"/>
          <w:numId w:val="0"/>
        </w:numPr>
        <w:ind w:left="0" w:firstLine="0"/>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tabs defTabSz="708"/>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tabs defTabSz="708"/>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tabs defTabSz="708"/>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tabs defTabSz="708"/>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tabs defTabSz="708"/>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tabs defTabSz="708"/>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tabs defTabSz="708"/>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tabs defTabSz="708"/>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tabs defTabSz="708"/>
        <w:rPr>
          <w:color w:val="000000"/>
          <w:sz w:val="22"/>
          <w:szCs w:val="22"/>
        </w:rPr>
      </w:pPr>
      <w:r>
        <w:rPr>
          <w:color w:val="000000"/>
          <w:sz w:val="22"/>
          <w:szCs w:val="22"/>
        </w:rPr>
      </w:r>
    </w:p>
    <w:p>
      <w:pPr>
        <w:pStyle w:val="para23"/>
        <w:numPr>
          <w:ilvl w:val="0"/>
          <w:numId w:val="0"/>
        </w:numPr>
        <w:ind w:left="279"/>
        <w:spacing w:before="0"/>
        <w:jc w:val="both"/>
        <w:tabs defTabSz="708"/>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tabs defTabSz="708"/>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spacing w:before="0"/>
        <w:jc w:val="both"/>
        <w:tabs defTabSz="708"/>
        <w:rPr>
          <w:color w:val="000000"/>
          <w:sz w:val="22"/>
          <w:szCs w:val="22"/>
        </w:rPr>
      </w:pPr>
      <w:r>
        <w:rPr>
          <w:color w:val="000000"/>
          <w:sz w:val="22"/>
          <w:szCs w:val="22"/>
        </w:rPr>
        <w:t>b) Plano de controle Ambiental de acordo com as normas do IEMA – Instituto de Meio Ambiente e Recursos Hídricos.</w:t>
      </w:r>
    </w:p>
    <w:p>
      <w:pPr>
        <w:spacing w:before="0"/>
        <w:jc w:val="both"/>
        <w:tabs defTabSz="708"/>
        <w:rPr>
          <w:color w:val="000000"/>
          <w:sz w:val="22"/>
          <w:szCs w:val="22"/>
        </w:rPr>
      </w:pPr>
      <w:r>
        <w:rPr>
          <w:color w:val="000000"/>
          <w:sz w:val="22"/>
          <w:szCs w:val="22"/>
        </w:rPr>
      </w:r>
    </w:p>
    <w:p>
      <w:pPr>
        <w:pStyle w:val="para23"/>
        <w:numPr>
          <w:ilvl w:val="0"/>
          <w:numId w:val="0"/>
        </w:numPr>
        <w:ind w:left="0" w:firstLine="0"/>
        <w:spacing w:before="0"/>
        <w:jc w:val="both"/>
        <w:tabs defTabSz="708"/>
        <w:rPr>
          <w:b/>
          <w:bCs/>
          <w:color w:val="000000"/>
          <w:sz w:val="22"/>
          <w:szCs w:val="22"/>
        </w:rPr>
      </w:pPr>
      <w:r>
        <w:rPr>
          <w:b/>
          <w:bCs/>
          <w:color w:val="000000"/>
          <w:sz w:val="22"/>
          <w:szCs w:val="22"/>
        </w:rPr>
        <w:t>1.4 - DA QUALIFICAÇÃO ECONÔMICO-FINANCEIRA</w:t>
      </w:r>
    </w:p>
    <w:p>
      <w:pPr>
        <w:pStyle w:val="para23"/>
        <w:numPr>
          <w:ilvl w:val="0"/>
          <w:numId w:val="0"/>
        </w:numPr>
        <w:ind w:left="0" w:firstLine="0"/>
        <w:spacing w:before="0"/>
        <w:jc w:val="both"/>
        <w:tabs defTabSz="708"/>
        <w:rPr>
          <w:sz w:val="22"/>
          <w:szCs w:val="22"/>
        </w:rPr>
      </w:pPr>
      <w:r>
        <w:rPr>
          <w:sz w:val="22"/>
          <w:szCs w:val="22"/>
        </w:rPr>
        <w:t xml:space="preserve">a) Balanço Patrimonial e Demonstrações Contábeis do último exercício social, </w:t>
      </w:r>
      <w:r>
        <w:rPr>
          <w:b/>
          <w:sz w:val="22"/>
          <w:szCs w:val="22"/>
        </w:rPr>
        <w:t>na forma da Lei</w:t>
      </w:r>
      <w:r>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pPr>
        <w:pStyle w:val="para23"/>
        <w:numPr>
          <w:ilvl w:val="0"/>
          <w:numId w:val="0"/>
        </w:numPr>
        <w:ind w:left="0" w:firstLine="0"/>
        <w:spacing w:before="0"/>
        <w:jc w:val="both"/>
        <w:tabs defTabSz="708"/>
        <w:rPr>
          <w:i/>
          <w:sz w:val="22"/>
          <w:szCs w:val="22"/>
        </w:rPr>
      </w:pPr>
      <w:r>
        <w:rPr>
          <w:i/>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tabs defTabSz="708"/>
        <w:rPr>
          <w:i/>
          <w:sz w:val="22"/>
          <w:szCs w:val="22"/>
        </w:rPr>
      </w:pPr>
      <w:r>
        <w:rPr>
          <w:i/>
          <w:sz w:val="22"/>
          <w:szCs w:val="22"/>
        </w:rPr>
        <w:t>a.1) cooperativas: os que tiverem aprovados pela Assembleia Geral Anual Competente para apreciá-los;</w:t>
      </w:r>
    </w:p>
    <w:p>
      <w:pPr>
        <w:pStyle w:val="para23"/>
        <w:numPr>
          <w:ilvl w:val="0"/>
          <w:numId w:val="0"/>
        </w:numPr>
        <w:ind w:left="0" w:firstLine="0"/>
        <w:spacing w:before="0"/>
        <w:jc w:val="both"/>
        <w:tabs defTabSz="708"/>
        <w:rPr>
          <w:i/>
          <w:sz w:val="22"/>
          <w:szCs w:val="22"/>
        </w:rPr>
      </w:pPr>
      <w:r>
        <w:rPr>
          <w:i/>
          <w:sz w:val="22"/>
          <w:szCs w:val="22"/>
        </w:rPr>
        <w:t>a.2) sociedades regidas pela Lei n° 6.404/76 (sociedade anônima):</w:t>
      </w:r>
    </w:p>
    <w:p>
      <w:pPr>
        <w:pStyle w:val="para23"/>
        <w:numPr>
          <w:ilvl w:val="0"/>
          <w:numId w:val="0"/>
        </w:numPr>
        <w:ind w:left="0" w:firstLine="0"/>
        <w:spacing w:before="0"/>
        <w:jc w:val="both"/>
        <w:tabs defTabSz="708"/>
        <w:rPr>
          <w:i/>
          <w:sz w:val="22"/>
          <w:szCs w:val="22"/>
        </w:rPr>
      </w:pPr>
      <w:r>
        <w:rPr>
          <w:i/>
          <w:sz w:val="22"/>
          <w:szCs w:val="22"/>
        </w:rPr>
        <w:t>- publicados em Diário Oficial; ou</w:t>
      </w:r>
    </w:p>
    <w:p>
      <w:pPr>
        <w:pStyle w:val="para23"/>
        <w:numPr>
          <w:ilvl w:val="0"/>
          <w:numId w:val="0"/>
        </w:numPr>
        <w:ind w:left="0" w:firstLine="0"/>
        <w:spacing w:before="0"/>
        <w:jc w:val="both"/>
        <w:tabs defTabSz="708"/>
        <w:rPr>
          <w:i/>
          <w:sz w:val="22"/>
          <w:szCs w:val="22"/>
        </w:rPr>
      </w:pPr>
      <w:r>
        <w:rPr>
          <w:i/>
          <w:sz w:val="22"/>
          <w:szCs w:val="22"/>
        </w:rPr>
        <w:t>- publicados em jornal de grande circulação; ou</w:t>
      </w:r>
    </w:p>
    <w:p>
      <w:pPr>
        <w:pStyle w:val="para23"/>
        <w:numPr>
          <w:ilvl w:val="0"/>
          <w:numId w:val="0"/>
        </w:numPr>
        <w:ind w:left="0" w:firstLine="0"/>
        <w:spacing w:before="0"/>
        <w:jc w:val="both"/>
        <w:tabs defTabSz="708"/>
        <w:rPr>
          <w:i/>
          <w:sz w:val="22"/>
          <w:szCs w:val="22"/>
        </w:rPr>
      </w:pPr>
      <w:r>
        <w:rPr>
          <w:i/>
          <w:sz w:val="22"/>
          <w:szCs w:val="22"/>
        </w:rPr>
        <w:t>- por fotocópia registrada ou autenticada na Junta Comercial da sede ou domicilio da licitante.</w:t>
      </w:r>
    </w:p>
    <w:p>
      <w:pPr>
        <w:pStyle w:val="para23"/>
        <w:numPr>
          <w:ilvl w:val="0"/>
          <w:numId w:val="0"/>
        </w:numPr>
        <w:ind w:left="0" w:firstLine="0"/>
        <w:spacing w:before="0"/>
        <w:jc w:val="both"/>
        <w:tabs defTabSz="708"/>
        <w:rPr>
          <w:sz w:val="22"/>
          <w:szCs w:val="22"/>
        </w:rPr>
      </w:pPr>
      <w:r>
        <w:rPr>
          <w:sz w:val="22"/>
          <w:szCs w:val="22"/>
        </w:rPr>
        <w:t xml:space="preserve">a.3) sociedades limitadas (LTDA)/ </w:t>
      </w:r>
      <w:r>
        <w:rPr>
          <w:b/>
          <w:sz w:val="22"/>
          <w:szCs w:val="22"/>
        </w:rPr>
        <w:t>sociedades sujeitas ao regime estabelecido na Lei Complementar n° 123, de 14 de dezembro de 2020 – Lei das Microempresas e das Empresas de Pequeno Porte (“SIMPLES”):</w:t>
      </w:r>
      <w:r>
        <w:rPr>
          <w:sz w:val="22"/>
          <w:szCs w:val="22"/>
        </w:rPr>
      </w:r>
    </w:p>
    <w:p>
      <w:pPr>
        <w:pStyle w:val="para23"/>
        <w:numPr>
          <w:ilvl w:val="0"/>
          <w:numId w:val="0"/>
        </w:numPr>
        <w:ind w:left="0" w:firstLine="0"/>
        <w:spacing w:before="0"/>
        <w:jc w:val="both"/>
        <w:tabs defTabSz="708"/>
        <w:rPr>
          <w:i/>
          <w:sz w:val="22"/>
          <w:szCs w:val="22"/>
        </w:rPr>
      </w:pPr>
      <w:r>
        <w:rPr>
          <w:i/>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tabs defTabSz="708"/>
        <w:rPr>
          <w:i/>
          <w:sz w:val="22"/>
          <w:szCs w:val="22"/>
        </w:rPr>
      </w:pPr>
      <w:r>
        <w:rPr>
          <w:i/>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tabs defTabSz="708"/>
        <w:rPr>
          <w:b/>
          <w:sz w:val="22"/>
          <w:szCs w:val="22"/>
        </w:rPr>
      </w:pPr>
      <w:r>
        <w:rPr>
          <w:b/>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tabs defTabSz="708"/>
        <w:rPr>
          <w:i/>
          <w:sz w:val="22"/>
          <w:szCs w:val="22"/>
        </w:rPr>
      </w:pPr>
      <w:r>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pStyle w:val="para29"/>
        <w:numPr>
          <w:ilvl w:val="0"/>
          <w:numId w:val="0"/>
        </w:numPr>
        <w:ind w:left="0" w:firstLine="0"/>
        <w:spacing w:before="0" w:after="0"/>
        <w:jc w:val="both"/>
        <w:tabs defTabSz="708"/>
        <w:rPr>
          <w:i/>
          <w:sz w:val="22"/>
          <w:szCs w:val="22"/>
        </w:rPr>
      </w:pPr>
      <w:r>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tabs defTabSz="708"/>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tabs defTabSz="708"/>
        <w:rPr>
          <w:color w:val="000000"/>
          <w:sz w:val="22"/>
          <w:szCs w:val="22"/>
        </w:rPr>
      </w:pPr>
      <w:r>
        <w:rPr>
          <w:color w:val="000000"/>
          <w:sz w:val="22"/>
          <w:szCs w:val="22"/>
        </w:rPr>
      </w:r>
    </w:p>
    <w:p>
      <w:pPr>
        <w:spacing w:before="0"/>
        <w:jc w:val="both"/>
        <w:tabs defTabSz="708"/>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tabs defTabSz="708"/>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tabs defTabSz="708"/>
        <w:rPr>
          <w:b/>
          <w:color w:val="000000"/>
          <w:sz w:val="22"/>
          <w:szCs w:val="22"/>
        </w:rPr>
      </w:pPr>
      <w:r>
        <w:rPr>
          <w:b/>
          <w:color w:val="000000"/>
          <w:sz w:val="22"/>
          <w:szCs w:val="22"/>
        </w:rPr>
      </w:r>
    </w:p>
    <w:p>
      <w:pPr>
        <w:spacing w:before="0"/>
        <w:jc w:val="both"/>
        <w:tabs defTabSz="708"/>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tabs defTabSz="708"/>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tabs defTabSz="708"/>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r>
    </w:p>
    <w:p>
      <w:pPr>
        <w:pStyle w:val="para32"/>
        <w:spacing w:before="0" w:after="0"/>
        <w:rPr>
          <w:i w:val="0"/>
          <w:iCs w:val="0"/>
          <w:color w:val="000000"/>
          <w:sz w:val="22"/>
          <w:szCs w:val="22"/>
        </w:rPr>
      </w:pPr>
      <w:r>
        <w:rPr>
          <w:i w:val="0"/>
          <w:iCs w:val="0"/>
          <w:color w:val="000000"/>
          <w:sz w:val="22"/>
          <w:szCs w:val="22"/>
        </w:rPr>
      </w:r>
    </w:p>
    <w:p>
      <w:pPr>
        <w:pStyle w:val="para32"/>
        <w:spacing w:before="0" w:after="0"/>
        <w:rPr>
          <w:i w:val="0"/>
          <w:iCs w:val="0"/>
          <w:color w:val="000000"/>
          <w:sz w:val="22"/>
          <w:szCs w:val="22"/>
        </w:rPr>
      </w:pPr>
      <w:r>
        <w:rPr>
          <w:i w:val="0"/>
          <w:iCs w:val="0"/>
          <w:color w:val="000000"/>
          <w:sz w:val="22"/>
          <w:szCs w:val="22"/>
        </w:rPr>
      </w:r>
    </w:p>
    <w:p>
      <w:pPr>
        <w:pStyle w:val="para32"/>
        <w:spacing w:before="0" w:after="0"/>
        <w:rPr>
          <w:i w:val="0"/>
          <w:iCs w:val="0"/>
          <w:color w:val="000000"/>
          <w:sz w:val="22"/>
          <w:szCs w:val="22"/>
        </w:rPr>
      </w:pPr>
      <w:r>
        <w:rPr>
          <w:i w:val="0"/>
          <w:iCs w:val="0"/>
          <w:color w:val="000000"/>
          <w:sz w:val="22"/>
          <w:szCs w:val="22"/>
        </w:rPr>
        <w:t>PREGÃO PRESENCIAL Nº 04/2020 - FMS</w:t>
      </w:r>
    </w:p>
    <w:p>
      <w:pPr>
        <w:pStyle w:val="para33"/>
        <w:spacing w:before="0"/>
        <w:rPr>
          <w:color w:val="000000"/>
          <w:sz w:val="22"/>
          <w:szCs w:val="22"/>
        </w:rPr>
      </w:pPr>
      <w:r>
        <w:rPr>
          <w:color w:val="000000"/>
          <w:sz w:val="22"/>
          <w:szCs w:val="22"/>
        </w:rPr>
        <w:t>ANEXO V - DECLARAÇÃO DE ATENDIMENTO AO INCISO XXXIII DO ART. 7.º DA CONSTITUIÇÃO FEDERAL</w:t>
      </w:r>
    </w:p>
    <w:p>
      <w:pPr>
        <w:pStyle w:val="para33"/>
        <w:spacing w:before="0"/>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spacing w:before="0"/>
        <w:jc w:val="both"/>
        <w:rPr>
          <w:b/>
          <w:i/>
          <w:sz w:val="22"/>
          <w:szCs w:val="22"/>
        </w:rPr>
      </w:pPr>
      <w:r>
        <w:rPr>
          <w:b/>
          <w:i/>
          <w:sz w:val="22"/>
          <w:szCs w:val="22"/>
        </w:rPr>
        <w:t>Apresentar na Habilitação</w:t>
      </w:r>
    </w:p>
    <w:p>
      <w:pPr>
        <w:pStyle w:val="para1"/>
        <w:spacing w:before="0"/>
        <w:jc w:val="center"/>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04/2020 - FMS.</w:t>
      </w:r>
    </w:p>
    <w:p>
      <w:pPr>
        <w:spacing w:before="0"/>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04/2020 -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(assinatura e carimbo do CNPJ)</w:t>
      </w:r>
    </w:p>
    <w:p>
      <w:pPr>
        <w:pStyle w:val="para3"/>
        <w:spacing w:before="0"/>
        <w:jc w:val="center"/>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pacing w:val="76"/>
          <w:sz w:val="22"/>
          <w:szCs w:val="22"/>
        </w:rPr>
      </w:pPr>
      <w:r>
        <w:rPr>
          <w:color w:val="000000"/>
          <w:spacing w:val="76"/>
          <w:sz w:val="22"/>
          <w:szCs w:val="22"/>
        </w:rPr>
      </w:r>
    </w:p>
    <w:p>
      <w:r/>
    </w:p>
    <w:p>
      <w:pPr>
        <w:spacing w:before="0"/>
        <w:rPr>
          <w:color w:val="000000"/>
          <w:sz w:val="22"/>
          <w:szCs w:val="22"/>
        </w:rPr>
      </w:pPr>
      <w:r>
        <w:rPr>
          <w:color w:val="000000"/>
          <w:sz w:val="22"/>
          <w:szCs w:val="22"/>
        </w:rPr>
      </w:r>
    </w:p>
    <w:p>
      <w:pPr>
        <w:spacing w:before="0"/>
        <w:jc w:val="both"/>
        <w:rPr>
          <w:b/>
          <w:i/>
          <w:sz w:val="22"/>
          <w:szCs w:val="22"/>
        </w:rPr>
      </w:pPr>
      <w:r>
        <w:rPr>
          <w:b/>
          <w:i/>
          <w:sz w:val="22"/>
          <w:szCs w:val="22"/>
        </w:rPr>
        <w:t>* deverá ser apresentado no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pStyle w:val="para1"/>
        <w:spacing w:before="0"/>
        <w:jc w:val="center"/>
        <w:rPr>
          <w:iCs/>
          <w:color w:val="000000"/>
          <w:sz w:val="22"/>
          <w:szCs w:val="22"/>
        </w:rPr>
      </w:pPr>
      <w:r>
        <w:rPr>
          <w:iCs/>
          <w:color w:val="000000"/>
          <w:sz w:val="22"/>
          <w:szCs w:val="22"/>
        </w:rPr>
      </w:r>
    </w:p>
    <w:p>
      <w:r/>
    </w:p>
    <w:p>
      <w:r/>
    </w:p>
    <w:p>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04/2020 - FMS</w:t>
      </w:r>
    </w:p>
    <w:p>
      <w:pPr>
        <w:spacing w:before="0"/>
        <w:rPr>
          <w:b/>
          <w:color w:val="000000"/>
          <w:sz w:val="22"/>
          <w:szCs w:val="22"/>
        </w:rPr>
      </w:pPr>
      <w:r>
        <w:rPr>
          <w:b/>
          <w:color w:val="000000"/>
          <w:sz w:val="22"/>
          <w:szCs w:val="22"/>
        </w:rPr>
        <w:t>ANEXO VII</w:t>
      </w:r>
    </w:p>
    <w:p>
      <w:pPr>
        <w:pStyle w:val="para33"/>
        <w:spacing w:before="0"/>
        <w:rPr>
          <w:color w:val="000000"/>
          <w:sz w:val="22"/>
          <w:szCs w:val="22"/>
        </w:rPr>
      </w:pPr>
      <w:r>
        <w:rPr>
          <w:color w:val="000000"/>
          <w:sz w:val="22"/>
          <w:szCs w:val="22"/>
        </w:rPr>
        <w:t>DADOS COMPLEMENTARES PARA ASSINATURA DA ATA DE REGISTRO DE PREÇOS E ASSINATURA DO CONTRATO</w:t>
      </w:r>
    </w:p>
    <w:p>
      <w:pPr>
        <w:pStyle w:val="para33"/>
        <w:spacing w:before="0"/>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8591827"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91827"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91827"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91827"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91827"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both"/>
        <w:rPr>
          <w:i/>
          <w:sz w:val="22"/>
          <w:szCs w:val="22"/>
        </w:rPr>
      </w:pPr>
      <w:r>
        <w:rPr>
          <w:i/>
          <w:sz w:val="22"/>
          <w:szCs w:val="22"/>
        </w:rPr>
        <w:t>Apresentar na Habilitação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t xml:space="preserve">ANEXO VIII </w:t>
      </w:r>
    </w:p>
    <w:p>
      <w:pPr>
        <w:spacing w:before="0"/>
        <w:rPr>
          <w:b/>
          <w:bCs/>
          <w:color w:val="000000"/>
          <w:sz w:val="22"/>
          <w:szCs w:val="22"/>
        </w:rPr>
      </w:pPr>
      <w:r>
        <w:rPr>
          <w:b/>
          <w:bCs/>
          <w:color w:val="000000"/>
          <w:sz w:val="22"/>
          <w:szCs w:val="22"/>
        </w:rPr>
        <w:t>TERMO DE REFERÊNCIA (EM ANEXO)</w:t>
      </w:r>
    </w:p>
    <w:p>
      <w:pPr>
        <w:spacing w:before="0"/>
        <w:rPr>
          <w:bCs/>
          <w:color w:val="000000"/>
          <w:sz w:val="22"/>
          <w:szCs w:val="22"/>
        </w:rPr>
      </w:pPr>
      <w:r>
        <w:rPr>
          <w:bCs/>
          <w:color w:val="000000"/>
          <w:sz w:val="22"/>
          <w:szCs w:val="22"/>
        </w:rPr>
      </w:r>
    </w:p>
    <w:p>
      <w:pPr>
        <w:spacing w:before="0"/>
        <w:rPr>
          <w:b/>
          <w:bCs/>
          <w:color w:val="000000"/>
          <w:sz w:val="22"/>
          <w:szCs w:val="22"/>
        </w:rPr>
      </w:pPr>
      <w:r>
        <w:rPr>
          <w:b/>
          <w:bCs/>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ANEXO IX</w:t>
      </w:r>
    </w:p>
    <w:p>
      <w:pPr>
        <w:pStyle w:val="para37"/>
        <w:spacing w:before="0"/>
        <w:widowControl w:val="0"/>
        <w:rPr>
          <w:rFonts w:ascii="Times New Roman" w:hAnsi="Times New Roman"/>
          <w:b/>
          <w:color w:val="000000"/>
        </w:rPr>
      </w:pPr>
      <w:r>
        <w:rPr>
          <w:rFonts w:ascii="Times New Roman" w:hAnsi="Times New Roman"/>
          <w:b/>
          <w:color w:val="000000"/>
        </w:rPr>
        <w:t xml:space="preserve"> ATA DE REGISTRO DE PREÇOS</w:t>
      </w:r>
    </w:p>
    <w:p>
      <w:pPr>
        <w:pStyle w:val="para37"/>
        <w:spacing w:before="0"/>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Processo n</w:t>
      </w:r>
      <w:r>
        <w:rPr>
          <w:rFonts w:ascii="Times New Roman" w:hAnsi="Times New Roman"/>
          <w:b/>
          <w:color w:val="000000"/>
          <w:u w:color="auto" w:val="single"/>
          <w:vertAlign w:val="superscript"/>
        </w:rPr>
        <w:t>o</w:t>
      </w:r>
      <w:r>
        <w:rPr>
          <w:rFonts w:ascii="Times New Roman" w:hAnsi="Times New Roman"/>
          <w:b/>
          <w:color w:val="000000"/>
        </w:rPr>
        <w:t xml:space="preserve">  XXX/2020</w:t>
      </w:r>
    </w:p>
    <w:p>
      <w:pPr>
        <w:pStyle w:val="para37"/>
        <w:spacing w:before="0"/>
        <w:jc w:val="both"/>
        <w:widowControl w:val="0"/>
        <w:rPr>
          <w:rFonts w:ascii="Times New Roman" w:hAnsi="Times New Roman"/>
          <w:b/>
          <w:color w:val="000000"/>
        </w:rPr>
      </w:pPr>
      <w:r>
        <w:rPr>
          <w:rFonts w:ascii="Times New Roman" w:hAnsi="Times New Roman"/>
          <w:b/>
          <w:color w:val="000000"/>
        </w:rPr>
        <w:t>Pregão n</w:t>
      </w:r>
      <w:r>
        <w:rPr>
          <w:rFonts w:ascii="Times New Roman" w:hAnsi="Times New Roman"/>
          <w:b/>
          <w:color w:val="000000"/>
          <w:u w:color="auto" w:val="single"/>
          <w:vertAlign w:val="superscript"/>
        </w:rPr>
        <w:t>o</w:t>
      </w:r>
      <w:r>
        <w:rPr>
          <w:rFonts w:ascii="Times New Roman" w:hAnsi="Times New Roman"/>
          <w:b/>
          <w:color w:val="000000"/>
        </w:rPr>
        <w:t xml:space="preserve">  04/2020 - FMS</w:t>
      </w:r>
    </w:p>
    <w:p>
      <w:pPr>
        <w:pStyle w:val="para37"/>
        <w:spacing w:before="0"/>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t xml:space="preserve">Pelo presente instrumento, </w:t>
      </w:r>
      <w:r>
        <w:rPr>
          <w:rFonts w:ascii="Times New Roman" w:hAnsi="Times New Roman"/>
          <w:b/>
          <w:color w:val="000000"/>
        </w:rPr>
        <w:t>O MUNICÍPIO DE SÃO DOMINGOS DO NORTE</w:t>
      </w:r>
      <w:r>
        <w:rPr>
          <w:rFonts w:ascii="Times New Roman" w:hAnsi="Times New Roman"/>
          <w:color w:val="000000"/>
        </w:rPr>
        <w:t>, Estado do Espírito Santo, pessoa Jurídica de Direito Público Interno, sediado na Rod. Gether Lopes de Farias, s/nº - São Domingos do Norte - ES, juntamente com o Fundo Municipal de Saúde inscrito no Cadastro Nacional de Pessoa Jurídica sob o N.º 13.953.742/0001-83, neste ato representado pelo PREFEITO MUNICIPAL</w:t>
      </w:r>
      <w:r>
        <w:rPr>
          <w:rFonts w:ascii="Times New Roman" w:hAnsi="Times New Roman"/>
          <w:bCs/>
          <w:color w:val="000000"/>
        </w:rPr>
        <w:t xml:space="preserve">, </w:t>
      </w:r>
      <w:r>
        <w:rPr>
          <w:rFonts w:ascii="Times New Roman" w:hAnsi="Times New Roman"/>
          <w:color w:val="000000"/>
        </w:rPr>
        <w:t>o</w:t>
      </w:r>
      <w:r>
        <w:rPr>
          <w:rFonts w:ascii="Times New Roman" w:hAnsi="Times New Roman"/>
          <w:bCs/>
          <w:color w:val="000000"/>
        </w:rPr>
        <w:t xml:space="preserve"> Sr. xxxxxxxx,</w:t>
      </w:r>
      <w:r>
        <w:rPr>
          <w:rFonts w:ascii="Times New Roman" w:hAnsi="Times New Roman"/>
          <w:color w:val="000000"/>
        </w:rPr>
        <w:t xml:space="preserve"> brasileiro, casado, residente na xxxxxx, Centro, São Domingos do Norte – ES considerando o julgamento da licitação na modalidade de PREGÃO PARA REGISTRO DE PREÇOS, sob nº. xxx/2020, publicada no DIOES do dia XX/XX/2020, bem como, a classificação das propostas, e a respectiva homologação, do processo xxx, RESOLVE registrar os preços da empresa _______________________, nas quantidades estimadas, de acordo com a classificação por elas alcançadas por item, atendendo as condições previstas no Instrumento Convocatório e as constantes desta Ata de Registro de Preços, e regido pela </w:t>
      </w:r>
      <w:r>
        <w:rPr>
          <w:rFonts w:ascii="Times New Roman" w:hAnsi="Times New Roman" w:eastAsia="Times New Roman"/>
        </w:rPr>
        <w:t>Lei n</w:t>
      </w:r>
      <w:r>
        <w:rPr>
          <w:rFonts w:ascii="Times New Roman" w:hAnsi="Times New Roman"/>
          <w:u w:color="auto" w:val="single"/>
          <w:vertAlign w:val="superscript"/>
        </w:rPr>
        <w:t>o</w:t>
      </w:r>
      <w:r>
        <w:rPr>
          <w:rFonts w:ascii="Times New Roman" w:hAnsi="Times New Roman"/>
        </w:rPr>
        <w:t xml:space="preserve"> 10.520, de 17 de julho de 2002, LC 123/2006, Decreto Federal 3555/00, </w:t>
      </w:r>
      <w:r>
        <w:rPr>
          <w:rFonts w:ascii="Times New Roman" w:hAnsi="Times New Roman"/>
          <w:color w:val="000000"/>
        </w:rPr>
        <w:t xml:space="preserve">Decreto Federal </w:t>
      </w:r>
      <w:r>
        <w:rPr>
          <w:rFonts w:ascii="Times New Roman" w:hAnsi="Times New Roman"/>
          <w:color w:val="000000"/>
        </w:rPr>
        <w:t>9.488/2018 e Decreto Municipal 1.663 de 11/06/2019 e subsidiariamente, pela Lei Federal n</w:t>
      </w:r>
      <w:r>
        <w:rPr>
          <w:rFonts w:ascii="Times New Roman" w:hAnsi="Times New Roman"/>
          <w:color w:val="000000"/>
          <w:u w:color="auto" w:val="single"/>
          <w:vertAlign w:val="superscript"/>
        </w:rPr>
        <w:t>o</w:t>
      </w:r>
      <w:r>
        <w:rPr>
          <w:rFonts w:ascii="Times New Roman" w:hAnsi="Times New Roman"/>
          <w:color w:val="000000"/>
        </w:rPr>
        <w:t xml:space="preserve"> 8.666/93, e em conformidade com as disposições a seguir.</w:t>
      </w: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PRIMEIRA - DO OBJETO</w:t>
      </w:r>
    </w:p>
    <w:p>
      <w:pPr>
        <w:numPr>
          <w:ilvl w:val="1"/>
          <w:numId w:val="7"/>
        </w:numPr>
        <w:ind w:left="0" w:firstLine="0"/>
        <w:spacing w:before="0"/>
        <w:jc w:val="both"/>
        <w:rPr>
          <w:rFonts w:eastAsia="Batang"/>
          <w:color w:val="000000"/>
          <w:sz w:val="22"/>
          <w:szCs w:val="22"/>
        </w:rPr>
      </w:pPr>
      <w:r>
        <w:rPr>
          <w:rFonts w:eastAsia="Batang"/>
          <w:color w:val="000000"/>
          <w:sz w:val="22"/>
          <w:szCs w:val="22"/>
        </w:rPr>
        <w:t>Aquisição de combustíveis para serem usados nos veículos lotados na  Secretaria de Saúde desta Prefeitura Municipal de São Domingos do Norte. Estes se fazem necessários para atender as necessidades dos funcionários  quanto as dos munícipes,  para o exercício de 2020.</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SEGUNDA - DO PREÇO</w:t>
      </w:r>
    </w:p>
    <w:p>
      <w:pPr>
        <w:pStyle w:val="para37"/>
        <w:spacing w:before="0"/>
        <w:jc w:val="both"/>
        <w:widowControl w:val="0"/>
        <w:rPr>
          <w:rFonts w:ascii="Times New Roman" w:hAnsi="Times New Roman"/>
          <w:color w:val="000000"/>
        </w:rPr>
      </w:pPr>
      <w:r>
        <w:rPr>
          <w:rFonts w:ascii="Times New Roman" w:hAnsi="Times New Roman"/>
          <w:b/>
          <w:color w:val="000000"/>
        </w:rPr>
        <w:t>2.1.</w:t>
      </w:r>
      <w:r>
        <w:rPr>
          <w:rFonts w:ascii="Times New Roman" w:hAnsi="Times New Roman"/>
          <w:color w:val="000000"/>
        </w:rPr>
        <w:t xml:space="preserve"> Os preços a serem pagos coincidem com os requisitos definidos no Anexo I do Edital, e nele estão inclusos todas as espécies de tributos, diretos e indiretos, encargos sociais, seguros, fretes, material, mão-de-obra e quaisquer despesas inerentes à compra.</w:t>
      </w:r>
    </w:p>
    <w:p>
      <w:pPr>
        <w:pStyle w:val="para37"/>
        <w:spacing w:before="0"/>
        <w:jc w:val="both"/>
        <w:widowControl w:val="0"/>
        <w:rPr>
          <w:rFonts w:ascii="Times New Roman" w:hAnsi="Times New Roman"/>
          <w:color w:val="000000"/>
        </w:rPr>
      </w:pPr>
      <w:r>
        <w:rPr>
          <w:rFonts w:ascii="Times New Roman" w:hAnsi="Times New Roman"/>
          <w:b/>
          <w:color w:val="000000"/>
        </w:rPr>
        <w:t xml:space="preserve">2.2. </w:t>
      </w:r>
      <w:r>
        <w:rPr>
          <w:rFonts w:ascii="Times New Roman" w:hAnsi="Times New Roman"/>
          <w:color w:val="000000"/>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left"/>
        <w:widowControl w:val="0"/>
        <w:rPr>
          <w:rFonts w:ascii="Times New Roman" w:hAnsi="Times New Roman"/>
          <w:b/>
          <w:color w:val="000000"/>
        </w:rPr>
      </w:pPr>
      <w:r>
        <w:rPr>
          <w:rFonts w:ascii="Times New Roman" w:hAnsi="Times New Roman"/>
          <w:b/>
          <w:color w:val="000000"/>
        </w:rPr>
        <w:t>CLÁUSULA TERCEIRA - DA ALTERAÇÃO DO PREÇO PRATICADO NO MERCADO E DOREEQUILÍBRIO DA EQUAÇÃO ECONÔMICO-FINANCEIRA</w:t>
      </w:r>
    </w:p>
    <w:p>
      <w:pPr>
        <w:pStyle w:val="para37"/>
        <w:spacing w:before="0"/>
        <w:jc w:val="both"/>
        <w:widowControl w:val="0"/>
        <w:rPr>
          <w:rFonts w:ascii="Times New Roman" w:hAnsi="Times New Roman"/>
          <w:color w:val="000000"/>
        </w:rPr>
      </w:pPr>
      <w:r>
        <w:rPr>
          <w:rFonts w:ascii="Times New Roman" w:hAnsi="Times New Roman"/>
          <w:b/>
          <w:color w:val="000000"/>
        </w:rPr>
        <w:t>3.1.</w:t>
      </w:r>
      <w:r>
        <w:rPr>
          <w:rFonts w:ascii="Times New Roman" w:hAnsi="Times New Roman"/>
          <w:color w:val="000000"/>
        </w:rPr>
        <w:t xml:space="preserve"> Quando, por motivo superveniente, o preço registrado tornar-se superior ao preço praticado pelo mercado, o órgão gerenciador deverá:</w:t>
      </w:r>
    </w:p>
    <w:p>
      <w:pPr>
        <w:pStyle w:val="para37"/>
        <w:spacing w:before="0"/>
        <w:jc w:val="both"/>
        <w:widowControl w:val="0"/>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Convocar o fornecedor visando a negociação para redução de preços e sua adequação ao praticado pelo mercado;</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Frustrada a negociação, liberar o fornecedor do compromisso assumido;</w:t>
      </w:r>
    </w:p>
    <w:p>
      <w:pPr>
        <w:pStyle w:val="para37"/>
        <w:spacing w:before="0"/>
        <w:jc w:val="both"/>
        <w:widowControl w:val="0"/>
        <w:rPr>
          <w:rFonts w:ascii="Times New Roman" w:hAnsi="Times New Roman"/>
          <w:color w:val="000000"/>
        </w:rPr>
      </w:pPr>
      <w:r>
        <w:rPr>
          <w:rFonts w:ascii="Times New Roman" w:hAnsi="Times New Roman"/>
          <w:b/>
          <w:color w:val="000000"/>
        </w:rPr>
        <w:t>c)</w:t>
      </w:r>
      <w:r>
        <w:rPr>
          <w:rFonts w:ascii="Times New Roman" w:hAnsi="Times New Roman"/>
          <w:color w:val="000000"/>
        </w:rPr>
        <w:t xml:space="preserve"> Convocar os demais fornecedores para conceder igual oportunidade de negociação.</w:t>
      </w:r>
    </w:p>
    <w:p>
      <w:pPr>
        <w:pStyle w:val="para37"/>
        <w:spacing w:before="0"/>
        <w:jc w:val="both"/>
        <w:widowControl w:val="0"/>
        <w:rPr>
          <w:rFonts w:ascii="Times New Roman" w:hAnsi="Times New Roman"/>
          <w:color w:val="000000"/>
        </w:rPr>
      </w:pPr>
      <w:r>
        <w:rPr>
          <w:rFonts w:ascii="Times New Roman" w:hAnsi="Times New Roman"/>
          <w:b/>
          <w:color w:val="000000"/>
        </w:rPr>
        <w:t>3.2.</w:t>
      </w:r>
      <w:r>
        <w:rPr>
          <w:rFonts w:ascii="Times New Roman" w:hAnsi="Times New Roman"/>
          <w:color w:val="000000"/>
        </w:rPr>
        <w:t xml:space="preserve"> Quando o preço de mercado tornar-se superior aos preços registrados e o fornecedor, mediante oferta de justificativas comprovadas, não puder cumprir o compromisso, o órgão gerenciador poderá:</w:t>
      </w:r>
    </w:p>
    <w:p>
      <w:pPr>
        <w:pStyle w:val="para37"/>
        <w:spacing w:before="0"/>
        <w:jc w:val="both"/>
        <w:widowControl w:val="0"/>
        <w:rPr>
          <w:rFonts w:ascii="Times New Roman" w:hAnsi="Times New Roman"/>
          <w:color w:val="000000"/>
        </w:rPr>
      </w:pPr>
      <w:r>
        <w:rPr>
          <w:rFonts w:ascii="Times New Roman" w:hAnsi="Times New Roman"/>
          <w:b/>
          <w:color w:val="000000"/>
        </w:rPr>
        <w:t xml:space="preserve">a) </w:t>
      </w:r>
      <w:r>
        <w:rPr>
          <w:rFonts w:ascii="Times New Roman" w:hAnsi="Times New Roman"/>
          <w:color w:val="000000"/>
        </w:rPr>
        <w:t>Liberar o fornecedor do compromisso assumido, sem aplicação de sanção administrativa, desde que as justificativas sejam motivadamente aceitas e o requerimento ocorra antes da emissão de ordem de fornecimento;</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Convocar os demais fornecedores para conceder igual oportunidade de negociação.</w:t>
      </w:r>
    </w:p>
    <w:p>
      <w:pPr>
        <w:pStyle w:val="para37"/>
        <w:spacing w:before="0"/>
        <w:jc w:val="both"/>
        <w:widowControl w:val="0"/>
        <w:rPr>
          <w:rFonts w:ascii="Times New Roman" w:hAnsi="Times New Roman"/>
          <w:color w:val="000000"/>
        </w:rPr>
      </w:pPr>
      <w:r>
        <w:rPr>
          <w:rFonts w:ascii="Times New Roman" w:hAnsi="Times New Roman"/>
          <w:b/>
          <w:color w:val="000000"/>
        </w:rPr>
        <w:t>3.3.</w:t>
      </w:r>
      <w:r>
        <w:rPr>
          <w:rFonts w:ascii="Times New Roman" w:hAnsi="Times New Roman"/>
          <w:color w:val="000000"/>
        </w:rPr>
        <w:t xml:space="preserve"> Não logrando êxito nas negociações, o órgão gerenciador deve proceder à revogação da Ata de Registro de Preços e à adoção de medidas cabíveis para obtenção de contratação mais vantajosa. </w:t>
      </w:r>
    </w:p>
    <w:p>
      <w:pPr>
        <w:pStyle w:val="para37"/>
        <w:spacing w:before="0"/>
        <w:jc w:val="both"/>
        <w:widowControl w:val="0"/>
        <w:rPr>
          <w:rFonts w:ascii="Times New Roman" w:hAnsi="Times New Roman"/>
          <w:color w:val="000000"/>
        </w:rPr>
      </w:pPr>
      <w:r>
        <w:rPr>
          <w:rFonts w:ascii="Times New Roman" w:hAnsi="Times New Roman"/>
          <w:b/>
          <w:color w:val="000000"/>
        </w:rPr>
        <w:t>3.4.</w:t>
      </w:r>
      <w:r>
        <w:rPr>
          <w:rFonts w:ascii="Times New Roman" w:hAnsi="Times New Roman"/>
          <w:color w:val="000000"/>
        </w:rPr>
        <w:t xml:space="preserve"> Em caso de desequilíbrio da equação econômico-financeira, será adotado o critério de revisão, como forma de restabelecer as condições originalmente pactuadas. </w:t>
      </w:r>
    </w:p>
    <w:p>
      <w:pPr>
        <w:pStyle w:val="para37"/>
        <w:spacing w:before="0"/>
        <w:jc w:val="both"/>
        <w:widowControl w:val="0"/>
        <w:rPr>
          <w:rFonts w:ascii="Times New Roman" w:hAnsi="Times New Roman"/>
          <w:color w:val="000000"/>
        </w:rPr>
      </w:pPr>
      <w:r>
        <w:rPr>
          <w:rFonts w:ascii="Times New Roman" w:hAnsi="Times New Roman"/>
          <w:b/>
          <w:color w:val="000000"/>
        </w:rPr>
        <w:t>3.5.</w:t>
      </w:r>
      <w:r>
        <w:rPr>
          <w:rFonts w:ascii="Times New Roman" w:hAnsi="Times New Roman"/>
          <w:color w:val="000000"/>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pPr>
        <w:pStyle w:val="para37"/>
        <w:spacing w:before="0"/>
        <w:jc w:val="both"/>
        <w:widowControl w:val="0"/>
        <w:rPr>
          <w:rFonts w:ascii="Times New Roman" w:hAnsi="Times New Roman"/>
          <w:color w:val="000000"/>
        </w:rPr>
      </w:pPr>
      <w:r>
        <w:rPr>
          <w:rFonts w:ascii="Times New Roman" w:hAnsi="Times New Roman"/>
          <w:b/>
          <w:color w:val="000000"/>
        </w:rPr>
        <w:t>3.5.1.</w:t>
      </w:r>
      <w:r>
        <w:rPr>
          <w:rFonts w:ascii="Times New Roman" w:hAnsi="Times New Roman"/>
          <w:color w:val="000000"/>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pStyle w:val="para37"/>
        <w:spacing w:before="0"/>
        <w:jc w:val="both"/>
        <w:widowControl w:val="0"/>
        <w:rPr>
          <w:rFonts w:ascii="Times New Roman" w:hAnsi="Times New Roman"/>
          <w:color w:val="000000"/>
        </w:rPr>
      </w:pPr>
      <w:r>
        <w:rPr>
          <w:rFonts w:ascii="Times New Roman" w:hAnsi="Times New Roman"/>
          <w:b/>
          <w:color w:val="000000"/>
        </w:rPr>
        <w:t>3.5.2.</w:t>
      </w:r>
      <w:r>
        <w:rPr>
          <w:rFonts w:ascii="Times New Roman" w:hAnsi="Times New Roman"/>
          <w:color w:val="000000"/>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supere o prazo de um ano.</w:t>
      </w:r>
    </w:p>
    <w:p>
      <w:pPr>
        <w:pStyle w:val="para37"/>
        <w:spacing w:before="0"/>
        <w:jc w:val="both"/>
        <w:widowControl w:val="0"/>
        <w:rPr>
          <w:rFonts w:ascii="Times New Roman" w:hAnsi="Times New Roman"/>
          <w:color w:val="000000"/>
        </w:rPr>
      </w:pPr>
      <w:r>
        <w:rPr>
          <w:rFonts w:ascii="Times New Roman" w:hAnsi="Times New Roman"/>
          <w:b/>
          <w:color w:val="000000"/>
        </w:rPr>
        <w:t>3.5.3.</w:t>
      </w:r>
      <w:r>
        <w:rPr>
          <w:rFonts w:ascii="Times New Roman" w:hAnsi="Times New Roman"/>
          <w:color w:val="000000"/>
        </w:rPr>
        <w:t xml:space="preserve"> Não será concedida a revisão quando: </w:t>
      </w:r>
    </w:p>
    <w:p>
      <w:pPr>
        <w:pStyle w:val="para37"/>
        <w:spacing w:before="0"/>
        <w:jc w:val="both"/>
        <w:widowControl w:val="0"/>
        <w:rPr>
          <w:rFonts w:ascii="Times New Roman" w:hAnsi="Times New Roman"/>
          <w:color w:val="000000"/>
        </w:rPr>
      </w:pPr>
      <w:r>
        <w:rPr>
          <w:rFonts w:ascii="Times New Roman" w:hAnsi="Times New Roman"/>
          <w:b/>
          <w:color w:val="000000"/>
        </w:rPr>
        <w:t xml:space="preserve">a) </w:t>
      </w:r>
      <w:r>
        <w:rPr>
          <w:rFonts w:ascii="Times New Roman" w:hAnsi="Times New Roman"/>
          <w:color w:val="000000"/>
        </w:rPr>
        <w:t xml:space="preserve">Ausente à elevação de encargos alegada pela parte interessada; </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O evento imputado como causa de desequilíbrio houver ocorrido antes da formulação da proposta definitiva ou após a finalização da vigência da Ata;</w:t>
      </w:r>
    </w:p>
    <w:p>
      <w:pPr>
        <w:pStyle w:val="para37"/>
        <w:spacing w:before="0"/>
        <w:jc w:val="both"/>
        <w:widowControl w:val="0"/>
        <w:rPr>
          <w:rFonts w:ascii="Times New Roman" w:hAnsi="Times New Roman"/>
          <w:color w:val="000000"/>
        </w:rPr>
      </w:pPr>
      <w:r>
        <w:rPr>
          <w:rFonts w:ascii="Times New Roman" w:hAnsi="Times New Roman"/>
          <w:b/>
          <w:color w:val="000000"/>
        </w:rPr>
        <w:t>c)</w:t>
      </w:r>
      <w:r>
        <w:rPr>
          <w:rFonts w:ascii="Times New Roman" w:hAnsi="Times New Roman"/>
          <w:color w:val="000000"/>
        </w:rPr>
        <w:t xml:space="preserve"> Ausente o nexo de causalidade entre o evento ocorrido e a majoração dos encargos atribuídos à parte interessada;</w:t>
      </w:r>
    </w:p>
    <w:p>
      <w:pPr>
        <w:pStyle w:val="para37"/>
        <w:spacing w:before="0"/>
        <w:jc w:val="both"/>
        <w:widowControl w:val="0"/>
        <w:rPr>
          <w:rFonts w:ascii="Times New Roman" w:hAnsi="Times New Roman"/>
          <w:color w:val="000000"/>
        </w:rPr>
      </w:pPr>
      <w:r>
        <w:rPr>
          <w:rFonts w:ascii="Times New Roman" w:hAnsi="Times New Roman"/>
          <w:b/>
          <w:color w:val="000000"/>
        </w:rPr>
        <w:t>d)</w:t>
      </w:r>
      <w:r>
        <w:rPr>
          <w:rFonts w:ascii="Times New Roman" w:hAnsi="Times New Roman"/>
          <w:color w:val="000000"/>
        </w:rPr>
        <w:t xml:space="preserve"> A parte interessada houver incorrido em culpa pela majoração de seus próprios encargos, incluindo-se, nesse âmbito, a previsibilidade da ocorrência do evento.</w:t>
      </w:r>
    </w:p>
    <w:p>
      <w:pPr>
        <w:pStyle w:val="para37"/>
        <w:spacing w:before="0"/>
        <w:jc w:val="both"/>
        <w:widowControl w:val="0"/>
        <w:rPr>
          <w:rFonts w:ascii="Times New Roman" w:hAnsi="Times New Roman"/>
          <w:color w:val="000000"/>
        </w:rPr>
      </w:pPr>
      <w:r>
        <w:rPr>
          <w:rFonts w:ascii="Times New Roman" w:hAnsi="Times New Roman"/>
          <w:b/>
          <w:color w:val="000000"/>
        </w:rPr>
        <w:t>3.5.4.</w:t>
      </w:r>
      <w:r>
        <w:rPr>
          <w:rFonts w:ascii="Times New Roman" w:hAnsi="Times New Roman"/>
          <w:color w:val="000000"/>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b/>
          <w:bCs/>
          <w:color w:val="000000"/>
        </w:rPr>
        <w:t>3.6.</w:t>
      </w:r>
      <w:r>
        <w:rPr>
          <w:rFonts w:ascii="Times New Roman" w:hAnsi="Times New Roman" w:eastAsia="Times New Roman"/>
          <w:color w:val="000000"/>
        </w:rPr>
        <w:t xml:space="preserve"> Havendo necessidade de reajuste de preço, tanto de elevação como redução, seja proposto através de requerimento da contratada ao Prefeito Municipal, através da secretaria competente, ou por iniciativa da Administração, conforme o caso, com a indicação dos percentuais de alteração, acompanhado de cópias xerográficas autenticadas das notas fiscais de compra que permitam a comprovação e a verificação da compatibilidade dos custos com as alterações pleiteadas, desde que mantida a relação entre o preço da bomba e o da oferta verificado na adjudicação do Pregão Presencial.</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QUARTA - DO CANCELAMENTO DO REGISTRO DE PREÇOS</w:t>
      </w:r>
    </w:p>
    <w:p>
      <w:pPr>
        <w:pStyle w:val="para37"/>
        <w:spacing w:before="0"/>
        <w:jc w:val="both"/>
        <w:widowControl w:val="0"/>
        <w:rPr>
          <w:rFonts w:ascii="Times New Roman" w:hAnsi="Times New Roman"/>
          <w:color w:val="000000"/>
        </w:rPr>
      </w:pPr>
      <w:r>
        <w:rPr>
          <w:rFonts w:ascii="Times New Roman" w:hAnsi="Times New Roman"/>
          <w:b/>
          <w:color w:val="000000"/>
        </w:rPr>
        <w:t>4.1.</w:t>
      </w:r>
      <w:r>
        <w:rPr>
          <w:rFonts w:ascii="Times New Roman" w:hAnsi="Times New Roman"/>
          <w:color w:val="000000"/>
        </w:rPr>
        <w:t xml:space="preserve"> O preço registrado poderá ser cancelado nas seguintes hipóteses:</w:t>
      </w:r>
    </w:p>
    <w:p>
      <w:pPr>
        <w:pStyle w:val="para37"/>
        <w:spacing w:before="0"/>
        <w:jc w:val="both"/>
        <w:widowControl w:val="0"/>
        <w:rPr>
          <w:rFonts w:ascii="Times New Roman" w:hAnsi="Times New Roman"/>
          <w:color w:val="000000"/>
        </w:rPr>
      </w:pPr>
      <w:r>
        <w:rPr>
          <w:rFonts w:ascii="Times New Roman" w:hAnsi="Times New Roman"/>
          <w:b/>
          <w:color w:val="000000"/>
        </w:rPr>
        <w:t>4.1.1.</w:t>
      </w:r>
      <w:r>
        <w:rPr>
          <w:rFonts w:ascii="Times New Roman" w:hAnsi="Times New Roman"/>
          <w:color w:val="000000"/>
        </w:rPr>
        <w:t xml:space="preserve"> Pela Administração, quando houver comprovado interesse público, ou quando o fornecedor:</w:t>
      </w:r>
    </w:p>
    <w:p>
      <w:pPr>
        <w:pStyle w:val="para37"/>
        <w:spacing w:before="0"/>
        <w:jc w:val="both"/>
        <w:widowControl w:val="0"/>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Não cumprir as exigências da Ata de Registro de Preços;</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Não formalizar contrato decorrente do Registro de Preços ou não retirar o instrumento equivalente no prazo estabelecido, sem justificativa aceitável;</w:t>
      </w:r>
    </w:p>
    <w:p>
      <w:pPr>
        <w:pStyle w:val="para37"/>
        <w:spacing w:before="0"/>
        <w:jc w:val="both"/>
        <w:widowControl w:val="0"/>
        <w:rPr>
          <w:rFonts w:ascii="Times New Roman" w:hAnsi="Times New Roman"/>
          <w:color w:val="000000"/>
        </w:rPr>
      </w:pPr>
      <w:r>
        <w:rPr>
          <w:rFonts w:ascii="Times New Roman" w:hAnsi="Times New Roman"/>
          <w:b/>
          <w:color w:val="000000"/>
        </w:rPr>
        <w:t>c)</w:t>
      </w:r>
      <w:r>
        <w:rPr>
          <w:rFonts w:ascii="Times New Roman" w:hAnsi="Times New Roman"/>
          <w:color w:val="000000"/>
        </w:rPr>
        <w:t xml:space="preserve"> Não aceitar reduzir o preço registrado, na hipótese de se tornar este superior aos praticados no mercado;</w:t>
      </w:r>
    </w:p>
    <w:p>
      <w:pPr>
        <w:pStyle w:val="para37"/>
        <w:spacing w:before="0"/>
        <w:jc w:val="both"/>
        <w:widowControl w:val="0"/>
        <w:rPr>
          <w:rFonts w:ascii="Times New Roman" w:hAnsi="Times New Roman"/>
          <w:color w:val="000000"/>
        </w:rPr>
      </w:pPr>
      <w:r>
        <w:rPr>
          <w:rFonts w:ascii="Times New Roman" w:hAnsi="Times New Roman"/>
          <w:b/>
          <w:color w:val="000000"/>
        </w:rPr>
        <w:t>d)</w:t>
      </w:r>
      <w:r>
        <w:rPr>
          <w:rFonts w:ascii="Times New Roman" w:hAnsi="Times New Roman"/>
          <w:color w:val="000000"/>
        </w:rPr>
        <w:t xml:space="preserve"> Incorrer em inexecução total ou parcial do contrato decorrente do registro de preços;</w:t>
      </w:r>
    </w:p>
    <w:p>
      <w:pPr>
        <w:pStyle w:val="para37"/>
        <w:spacing w:before="0"/>
        <w:jc w:val="both"/>
        <w:widowControl w:val="0"/>
        <w:rPr>
          <w:rFonts w:ascii="Times New Roman" w:hAnsi="Times New Roman"/>
          <w:color w:val="000000"/>
        </w:rPr>
      </w:pPr>
      <w:r>
        <w:rPr>
          <w:rFonts w:ascii="Times New Roman" w:hAnsi="Times New Roman"/>
          <w:b/>
          <w:color w:val="000000"/>
        </w:rPr>
        <w:t>4.1.2.</w:t>
      </w:r>
      <w:r>
        <w:rPr>
          <w:rFonts w:ascii="Times New Roman" w:hAnsi="Times New Roman"/>
          <w:color w:val="000000"/>
        </w:rPr>
        <w:t xml:space="preserve"> Pelo fornecedor, quando, mediante solicitação formal e expressa, comprovar a impossibilidade, por caso fortuito ou força maior, de dar cumprimento às exigências do instrumento convocatório e da Ata de Registro de Preços.</w:t>
      </w:r>
    </w:p>
    <w:p>
      <w:pPr>
        <w:pStyle w:val="para37"/>
        <w:spacing w:before="0"/>
        <w:jc w:val="both"/>
        <w:widowControl w:val="0"/>
        <w:rPr>
          <w:rFonts w:ascii="Times New Roman" w:hAnsi="Times New Roman"/>
          <w:color w:val="000000"/>
        </w:rPr>
      </w:pPr>
      <w:r>
        <w:rPr>
          <w:rFonts w:ascii="Times New Roman" w:hAnsi="Times New Roman"/>
          <w:b/>
          <w:color w:val="000000"/>
        </w:rPr>
        <w:t>4.2.</w:t>
      </w:r>
      <w:r>
        <w:rPr>
          <w:rFonts w:ascii="Times New Roman" w:hAnsi="Times New Roman"/>
          <w:color w:val="000000"/>
        </w:rPr>
        <w:t xml:space="preserve"> O cancelamento do registro de preços por parte da Administração, assegurados a ampla defesa e o contraditório, será formalizado por decisão da autoridade competente.</w:t>
      </w:r>
    </w:p>
    <w:p>
      <w:pPr>
        <w:pStyle w:val="para37"/>
        <w:spacing w:before="0"/>
        <w:jc w:val="both"/>
        <w:widowControl w:val="0"/>
        <w:rPr>
          <w:rFonts w:ascii="Times New Roman" w:hAnsi="Times New Roman"/>
          <w:color w:val="000000"/>
        </w:rPr>
      </w:pPr>
      <w:r>
        <w:rPr>
          <w:rFonts w:ascii="Times New Roman" w:hAnsi="Times New Roman"/>
          <w:b/>
          <w:color w:val="000000"/>
        </w:rPr>
        <w:t>4.2.1.</w:t>
      </w:r>
      <w:r>
        <w:rPr>
          <w:rFonts w:ascii="Times New Roman" w:hAnsi="Times New Roman"/>
          <w:color w:val="000000"/>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pPr>
        <w:pStyle w:val="para37"/>
        <w:spacing w:before="0"/>
        <w:jc w:val="both"/>
        <w:widowControl w:val="0"/>
        <w:rPr>
          <w:rFonts w:ascii="Times New Roman" w:hAnsi="Times New Roman"/>
          <w:color w:val="000000"/>
        </w:rPr>
      </w:pPr>
      <w:r>
        <w:rPr>
          <w:rFonts w:ascii="Times New Roman" w:hAnsi="Times New Roman"/>
          <w:b/>
          <w:color w:val="000000"/>
        </w:rPr>
        <w:t>4.3.</w:t>
      </w:r>
      <w:r>
        <w:rPr>
          <w:rFonts w:ascii="Times New Roman" w:hAnsi="Times New Roman"/>
          <w:color w:val="000000"/>
        </w:rPr>
        <w:t xml:space="preserve"> Da decisão da autoridade competente se dará conhecimento aos fornecedores, mediante o envio de correspondência, com aviso de recebimento.</w:t>
      </w:r>
    </w:p>
    <w:p>
      <w:pPr>
        <w:pStyle w:val="para37"/>
        <w:spacing w:before="0"/>
        <w:jc w:val="both"/>
        <w:widowControl w:val="0"/>
        <w:rPr>
          <w:rFonts w:ascii="Times New Roman" w:hAnsi="Times New Roman"/>
          <w:color w:val="000000"/>
        </w:rPr>
      </w:pPr>
      <w:r>
        <w:rPr>
          <w:rFonts w:ascii="Times New Roman" w:hAnsi="Times New Roman"/>
          <w:b/>
          <w:color w:val="000000"/>
        </w:rPr>
        <w:t>4.4.</w:t>
      </w:r>
      <w:r>
        <w:rPr>
          <w:rFonts w:ascii="Times New Roman" w:hAnsi="Times New Roman"/>
          <w:color w:val="000000"/>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pPr>
        <w:pStyle w:val="para37"/>
        <w:spacing w:before="0"/>
        <w:jc w:val="both"/>
        <w:widowControl w:val="0"/>
        <w:rPr>
          <w:rFonts w:ascii="Times New Roman" w:hAnsi="Times New Roman"/>
          <w:color w:val="000000"/>
        </w:rPr>
      </w:pPr>
      <w:r>
        <w:rPr>
          <w:rFonts w:ascii="Times New Roman" w:hAnsi="Times New Roman"/>
          <w:b/>
          <w:color w:val="000000"/>
        </w:rPr>
        <w:t>4.5.</w:t>
      </w:r>
      <w:r>
        <w:rPr>
          <w:rFonts w:ascii="Times New Roman" w:hAnsi="Times New Roman"/>
          <w:color w:val="000000"/>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QUINTA - DAS CONDIÇÕES DE PAGAMENTO</w:t>
      </w:r>
    </w:p>
    <w:p>
      <w:pPr>
        <w:pStyle w:val="para37"/>
        <w:spacing w:before="0"/>
        <w:jc w:val="both"/>
        <w:widowControl w:val="0"/>
        <w:rPr>
          <w:rFonts w:ascii="Times New Roman" w:hAnsi="Times New Roman"/>
          <w:color w:val="000000"/>
        </w:rPr>
      </w:pPr>
      <w:r>
        <w:rPr>
          <w:rFonts w:ascii="Times New Roman" w:hAnsi="Times New Roman"/>
          <w:b/>
          <w:color w:val="000000"/>
        </w:rPr>
        <w:t>5.1.</w:t>
      </w:r>
      <w:r>
        <w:rPr>
          <w:rFonts w:ascii="Times New Roman" w:hAnsi="Times New Roman"/>
          <w:color w:val="000000"/>
        </w:rPr>
        <w:t xml:space="preserve"> O prazo para pagamento será de até 15 (quinze) dias contados da ata de protocolização e aceitação pelo Contratante da Nota Fiscal/Fatura correspondente, devidamente atestada pelo Gestor. O pagamento da Nota Fiscal/fatura fica condicionado ao cumprimento dos critérios de recebimento.</w:t>
      </w:r>
    </w:p>
    <w:p>
      <w:pPr>
        <w:pStyle w:val="para37"/>
        <w:spacing w:before="0"/>
        <w:jc w:val="both"/>
        <w:widowControl w:val="0"/>
        <w:rPr>
          <w:rFonts w:ascii="Times New Roman" w:hAnsi="Times New Roman"/>
          <w:color w:val="000000"/>
        </w:rPr>
      </w:pPr>
      <w:r>
        <w:rPr>
          <w:rFonts w:ascii="Times New Roman" w:hAnsi="Times New Roman"/>
          <w:b/>
          <w:color w:val="000000"/>
        </w:rPr>
        <w:t>5.2.</w:t>
      </w:r>
      <w:r>
        <w:rPr>
          <w:rFonts w:ascii="Times New Roman" w:hAnsi="Times New Roman"/>
          <w:color w:val="000000"/>
        </w:rPr>
        <w:t xml:space="preserve"> O pagamento far-se-á por meio de uma única fatura.</w:t>
      </w:r>
    </w:p>
    <w:p>
      <w:pPr>
        <w:pStyle w:val="para37"/>
        <w:spacing w:before="0"/>
        <w:jc w:val="both"/>
        <w:widowControl w:val="0"/>
        <w:rPr>
          <w:rFonts w:ascii="Times New Roman" w:hAnsi="Times New Roman"/>
          <w:color w:val="000000"/>
        </w:rPr>
      </w:pPr>
      <w:r>
        <w:rPr>
          <w:rFonts w:ascii="Times New Roman" w:hAnsi="Times New Roman"/>
          <w:b/>
          <w:color w:val="000000"/>
        </w:rPr>
        <w:t>5.3.</w:t>
      </w:r>
      <w:r>
        <w:rPr>
          <w:rFonts w:ascii="Times New Roman" w:hAnsi="Times New Roman"/>
          <w:color w:val="000000"/>
        </w:rPr>
        <w:t xml:space="preserve"> Incumbirão à Contratada a iniciativa e o encargo do cálculo minucioso da fatura devida a ser reveste e aprovado pela Contratante, juntando-se o cálculo da fatura.</w:t>
      </w:r>
    </w:p>
    <w:p>
      <w:pPr>
        <w:pStyle w:val="para37"/>
        <w:spacing w:before="0"/>
        <w:jc w:val="both"/>
        <w:widowControl w:val="0"/>
        <w:rPr>
          <w:rFonts w:ascii="Times New Roman" w:hAnsi="Times New Roman"/>
          <w:color w:val="000000"/>
        </w:rPr>
      </w:pPr>
      <w:r>
        <w:rPr>
          <w:rFonts w:ascii="Times New Roman" w:hAnsi="Times New Roman"/>
          <w:b/>
          <w:color w:val="000000"/>
        </w:rPr>
        <w:t>5.4.</w:t>
      </w:r>
      <w:r>
        <w:rPr>
          <w:rFonts w:ascii="Times New Roman" w:hAnsi="Times New Roman"/>
          <w:color w:val="000000"/>
        </w:rPr>
        <w:t xml:space="preserve"> A liquidação das despesas obedecerá rigorosamente o estabelecido na Lei nº 4.320/64 e alterações posteriores.</w:t>
      </w:r>
    </w:p>
    <w:p>
      <w:pPr>
        <w:pStyle w:val="para37"/>
        <w:spacing w:before="0"/>
        <w:jc w:val="both"/>
        <w:widowControl w:val="0"/>
        <w:rPr>
          <w:rFonts w:ascii="Times New Roman" w:hAnsi="Times New Roman"/>
          <w:color w:val="000000"/>
        </w:rPr>
      </w:pPr>
      <w:r>
        <w:rPr>
          <w:rFonts w:ascii="Times New Roman" w:hAnsi="Times New Roman"/>
          <w:b/>
          <w:color w:val="000000"/>
        </w:rPr>
        <w:t>5.5.</w:t>
      </w:r>
      <w:r>
        <w:rPr>
          <w:rFonts w:ascii="Times New Roman" w:hAnsi="Times New Roman"/>
          <w:color w:val="000000"/>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pStyle w:val="para37"/>
        <w:spacing w:before="0"/>
        <w:jc w:val="both"/>
        <w:widowControl w:val="0"/>
        <w:rPr>
          <w:rFonts w:ascii="Times New Roman" w:hAnsi="Times New Roman"/>
          <w:color w:val="000000"/>
        </w:rPr>
      </w:pPr>
      <w:r>
        <w:rPr>
          <w:rFonts w:ascii="Times New Roman" w:hAnsi="Times New Roman"/>
          <w:b/>
          <w:color w:val="000000"/>
        </w:rPr>
        <w:t>5.6.</w:t>
      </w:r>
      <w:r>
        <w:rPr>
          <w:rFonts w:ascii="Times New Roman" w:hAnsi="Times New Roman"/>
          <w:color w:val="000000"/>
        </w:rPr>
        <w:t xml:space="preserve"> A eventual inadimplência de um dos órgãos participantes desta Ata não produzirá efeitos quanto aos demais.</w:t>
      </w:r>
    </w:p>
    <w:p>
      <w:pPr>
        <w:pStyle w:val="para37"/>
        <w:spacing w:before="0"/>
        <w:jc w:val="both"/>
        <w:widowControl w:val="0"/>
        <w:rPr>
          <w:rFonts w:ascii="Times New Roman" w:hAnsi="Times New Roman"/>
          <w:color w:val="000000"/>
        </w:rPr>
      </w:pPr>
      <w:r>
        <w:rPr>
          <w:rFonts w:ascii="Times New Roman" w:hAnsi="Times New Roman"/>
          <w:b/>
          <w:color w:val="000000"/>
        </w:rPr>
        <w:t>5.7.</w:t>
      </w:r>
      <w:r>
        <w:rPr>
          <w:rFonts w:ascii="Times New Roman" w:hAnsi="Times New Roman"/>
          <w:color w:val="000000"/>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 xml:space="preserve">CLÁUSULA SEXTA - DO PRAZO DE VIGÊNCIA DA ATA </w:t>
      </w:r>
    </w:p>
    <w:p>
      <w:pPr>
        <w:pStyle w:val="para37"/>
        <w:spacing w:before="0"/>
        <w:jc w:val="both"/>
        <w:widowControl w:val="0"/>
        <w:rPr>
          <w:rFonts w:ascii="Times New Roman" w:hAnsi="Times New Roman"/>
          <w:color w:val="000000"/>
        </w:rPr>
      </w:pPr>
      <w:r>
        <w:rPr>
          <w:rFonts w:ascii="Times New Roman" w:hAnsi="Times New Roman"/>
          <w:b/>
          <w:color w:val="000000"/>
        </w:rPr>
        <w:t>6.1.</w:t>
      </w:r>
      <w:r>
        <w:rPr>
          <w:rFonts w:ascii="Times New Roman" w:hAnsi="Times New Roman"/>
          <w:color w:val="000000"/>
        </w:rPr>
        <w:t xml:space="preserve"> O prazo de vigência dessa Ata de Registro de Preços é de 01(um) ano, contado do dia posterior à data de sua publicação no Diário Oficial, vedada a sua prorrogação.</w:t>
      </w:r>
    </w:p>
    <w:p>
      <w:pPr>
        <w:pStyle w:val="para37"/>
        <w:spacing w:before="0"/>
        <w:jc w:val="both"/>
        <w:widowControl w:val="0"/>
        <w:rPr>
          <w:rFonts w:ascii="Times New Roman" w:hAnsi="Times New Roman"/>
          <w:color w:val="000000"/>
        </w:rPr>
      </w:pPr>
      <w:r>
        <w:rPr>
          <w:rFonts w:ascii="Times New Roman" w:hAnsi="Times New Roman"/>
          <w:b/>
          <w:color w:val="000000"/>
        </w:rPr>
        <w:t>6.2.</w:t>
      </w:r>
      <w:r>
        <w:rPr>
          <w:rFonts w:ascii="Times New Roman" w:hAnsi="Times New Roman"/>
          <w:color w:val="000000"/>
        </w:rPr>
        <w:t xml:space="preserve"> O pagamento será efetuado, mediante Termo de Recebimento dos produtos, emitido pela Secretaria requisitante, em até 15 (quinze) dias, após a aceitação e atestados das Notas Fiscais emitidos pelo fiscal da Ata de Registro de Preços.</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SÉTIMA - DA DOTAÇÃO ORÇAMENTÁRIA</w:t>
      </w:r>
    </w:p>
    <w:p>
      <w:pPr>
        <w:spacing w:before="0"/>
        <w:jc w:val="both"/>
        <w:rPr>
          <w:color w:val="000000"/>
          <w:sz w:val="22"/>
          <w:szCs w:val="22"/>
        </w:rPr>
      </w:pPr>
      <w:r>
        <w:rPr>
          <w:b/>
          <w:color w:val="000000"/>
          <w:sz w:val="22"/>
          <w:szCs w:val="22"/>
        </w:rPr>
        <w:t>7.1</w:t>
      </w:r>
      <w:r>
        <w:rPr>
          <w:color w:val="000000"/>
          <w:sz w:val="22"/>
          <w:szCs w:val="22"/>
        </w:rPr>
        <w:t>. As despesas decorrentes da presente licitação serão pagos com recursos consignados no orçamento municipal.</w:t>
      </w:r>
    </w:p>
    <w:p>
      <w:pPr>
        <w:spacing w:before="0"/>
        <w:jc w:val="both"/>
        <w:rPr>
          <w:b/>
          <w:color w:val="000000"/>
          <w:sz w:val="22"/>
          <w:szCs w:val="22"/>
        </w:rPr>
      </w:pPr>
      <w:r>
        <w:rPr>
          <w:b/>
          <w:color w:val="000000"/>
          <w:sz w:val="22"/>
          <w:szCs w:val="22"/>
        </w:rPr>
        <w:t>Fundo Municipal de Saúde</w:t>
      </w:r>
    </w:p>
    <w:p>
      <w:pPr>
        <w:spacing w:before="0"/>
        <w:jc w:val="both"/>
        <w:rPr>
          <w:b/>
          <w:color w:val="000000"/>
          <w:sz w:val="22"/>
          <w:szCs w:val="22"/>
        </w:rPr>
      </w:pPr>
      <w:r>
        <w:rPr>
          <w:b/>
          <w:color w:val="000000"/>
          <w:sz w:val="22"/>
          <w:szCs w:val="22"/>
        </w:rPr>
        <w:t>Fichas: 10 - 1211, 50 - 1212, 64 - 1212, 89 - 1212, 97 - 1212.</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CLÁUSULA OITAVA - DA CONVOCAÇÃO PARA RECEBER A ORDEM DE FORNECIMENTO</w:t>
      </w:r>
    </w:p>
    <w:p>
      <w:pPr>
        <w:pStyle w:val="para37"/>
        <w:spacing w:before="0"/>
        <w:jc w:val="both"/>
        <w:widowControl w:val="0"/>
        <w:rPr>
          <w:rFonts w:ascii="Times New Roman" w:hAnsi="Times New Roman"/>
          <w:color w:val="000000"/>
        </w:rPr>
      </w:pPr>
      <w:r>
        <w:rPr>
          <w:rFonts w:ascii="Times New Roman" w:hAnsi="Times New Roman"/>
          <w:b/>
          <w:color w:val="000000"/>
        </w:rPr>
        <w:t>8.1</w:t>
      </w:r>
      <w:r>
        <w:rPr>
          <w:rFonts w:ascii="Times New Roman" w:hAnsi="Times New Roman"/>
          <w:color w:val="00000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NONA - DA ENTREGA E ABASTECIMENTO DO MATERIAL DE CONSUMO</w:t>
      </w:r>
    </w:p>
    <w:p>
      <w:pPr>
        <w:pStyle w:val="para37"/>
        <w:spacing w:before="0"/>
        <w:jc w:val="both"/>
        <w:widowControl w:val="0"/>
        <w:rPr>
          <w:rFonts w:ascii="Times New Roman" w:hAnsi="Times New Roman"/>
          <w:color w:val="000000"/>
        </w:rPr>
      </w:pPr>
      <w:r>
        <w:rPr>
          <w:rFonts w:ascii="Times New Roman" w:hAnsi="Times New Roman"/>
          <w:b/>
          <w:color w:val="000000"/>
        </w:rPr>
        <w:t>9.1.</w:t>
      </w:r>
      <w:r>
        <w:rPr>
          <w:rFonts w:ascii="Times New Roman" w:hAnsi="Times New Roman"/>
          <w:color w:val="000000"/>
        </w:rPr>
        <w:t xml:space="preserve"> O abastecimento será continuo e fracionado de acordo com as necessidades da PMSDN/ES. Em postos pertencentes a contratada ou por ela credenciada de acordo com a distância estabelecida na alínea” b” deste item.</w:t>
      </w:r>
    </w:p>
    <w:p>
      <w:pPr>
        <w:pStyle w:val="para37"/>
        <w:spacing w:before="0"/>
        <w:jc w:val="both"/>
        <w:widowControl w:val="0"/>
        <w:rPr>
          <w:rFonts w:ascii="Times New Roman" w:hAnsi="Times New Roman"/>
          <w:color w:val="000000"/>
        </w:rPr>
      </w:pPr>
      <w:r>
        <w:rPr>
          <w:rFonts w:ascii="Times New Roman" w:hAnsi="Times New Roman"/>
          <w:color w:val="000000"/>
        </w:rPr>
        <w:t>b) A contratada se obrigará a manter o posto de abastecimentos credenciado no município, cujo o endereço consta do preâmbulo do presente Edital;</w:t>
      </w:r>
    </w:p>
    <w:p>
      <w:pPr>
        <w:pStyle w:val="para37"/>
        <w:spacing w:before="0"/>
        <w:jc w:val="both"/>
        <w:widowControl w:val="0"/>
        <w:rPr>
          <w:rFonts w:ascii="Times New Roman" w:hAnsi="Times New Roman"/>
          <w:color w:val="000000"/>
        </w:rPr>
      </w:pPr>
      <w:r>
        <w:rPr>
          <w:rFonts w:ascii="Times New Roman" w:hAnsi="Times New Roman"/>
          <w:color w:val="000000"/>
        </w:rPr>
        <w:t>c) A Contratada se obrigará a realizar o abastecimento com os combustíveis em quantidade solicitadas, após a requisição emitida. A contratada deverá estar apta a fornecer o produto imediatamente após assinatura do contrato.</w:t>
      </w:r>
    </w:p>
    <w:p>
      <w:pPr>
        <w:pStyle w:val="para37"/>
        <w:spacing w:before="0"/>
        <w:jc w:val="both"/>
        <w:widowControl w:val="0"/>
        <w:rPr>
          <w:rFonts w:ascii="Times New Roman" w:hAnsi="Times New Roman"/>
          <w:color w:val="000000"/>
        </w:rPr>
      </w:pPr>
      <w:r>
        <w:rPr>
          <w:rFonts w:ascii="Times New Roman" w:hAnsi="Times New Roman"/>
          <w:color w:val="000000"/>
        </w:rPr>
        <w:t>d) O prazo para pagamento será de até 15 (quinze) dias contados da ata de protocolização e aceitação pelo Contratante da Nota Fiscal/Fatura correspondente, devidamente atestada pelo Gestor do Contrato. O pagamento da Nota Fiscal/fatura fica condicionado ao cumprimento dos critérios de recebimento.</w:t>
      </w:r>
    </w:p>
    <w:p>
      <w:pPr>
        <w:pStyle w:val="para37"/>
        <w:spacing w:before="0"/>
        <w:jc w:val="both"/>
        <w:widowControl w:val="0"/>
        <w:rPr>
          <w:rFonts w:ascii="Times New Roman" w:hAnsi="Times New Roman"/>
          <w:color w:val="000000"/>
        </w:rPr>
      </w:pPr>
      <w:r>
        <w:rPr>
          <w:rFonts w:ascii="Times New Roman" w:hAnsi="Times New Roman"/>
          <w:color w:val="000000"/>
        </w:rPr>
        <w:t xml:space="preserve"> e) Para habilitar-se ao pagamento a contratada deverá protocolar na PMSDN/ES Nota Fiscal, até o 5º (quinto) dia do mês subsequente ao mês de referência, especificando o abastecimento e seus correspondentes valores em moeda corrente nacional, devendo estar formalmente atestado pelo gestor do contrato.</w:t>
      </w:r>
    </w:p>
    <w:p>
      <w:pPr>
        <w:pStyle w:val="para37"/>
        <w:spacing w:before="0"/>
        <w:jc w:val="both"/>
        <w:widowControl w:val="0"/>
        <w:rPr>
          <w:rFonts w:ascii="Times New Roman" w:hAnsi="Times New Roman" w:eastAsia="Batang"/>
          <w:color w:val="000000"/>
        </w:rPr>
      </w:pPr>
      <w:r>
        <w:rPr>
          <w:rFonts w:ascii="Times New Roman" w:hAnsi="Times New Roman" w:eastAsia="Batang"/>
          <w:b/>
          <w:color w:val="000000"/>
        </w:rPr>
        <w:t xml:space="preserve">9.2. </w:t>
      </w:r>
      <w:r>
        <w:rPr>
          <w:rFonts w:ascii="Times New Roman" w:hAnsi="Times New Roman" w:eastAsia="Batang"/>
          <w:color w:val="000000"/>
        </w:rPr>
        <w:t>A validade dos produtos adquiridos respeitará o descrito no Anexo I.</w:t>
      </w:r>
    </w:p>
    <w:p>
      <w:pPr>
        <w:pStyle w:val="para37"/>
        <w:spacing w:before="0"/>
        <w:jc w:val="both"/>
        <w:widowControl w:val="0"/>
        <w:rPr>
          <w:rFonts w:ascii="Times New Roman" w:hAnsi="Times New Roman"/>
          <w:color w:val="000000"/>
        </w:rPr>
      </w:pPr>
      <w:r>
        <w:rPr>
          <w:rFonts w:ascii="Times New Roman" w:hAnsi="Times New Roman"/>
          <w:b/>
          <w:color w:val="000000"/>
        </w:rPr>
        <w:t>9.3.</w:t>
      </w:r>
      <w:r>
        <w:rPr>
          <w:rFonts w:ascii="Times New Roman" w:hAnsi="Times New Roman"/>
          <w:color w:val="000000"/>
        </w:rPr>
        <w:t xml:space="preserve"> Constatadas irregularidades no objeto contratada, a contratante poderá:</w:t>
      </w:r>
    </w:p>
    <w:p>
      <w:pPr>
        <w:pStyle w:val="para37"/>
        <w:spacing w:before="0"/>
        <w:jc w:val="both"/>
        <w:widowControl w:val="0"/>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Se disser respeito à especificação, rejeitá-lo, determinando sua substituição ou rescindindo a contratação, sem prejuízo das penalidades cabíveis;</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pStyle w:val="para37"/>
        <w:spacing w:before="0"/>
        <w:jc w:val="both"/>
        <w:widowControl w:val="0"/>
        <w:rPr>
          <w:rFonts w:ascii="Times New Roman" w:hAnsi="Times New Roman"/>
          <w:color w:val="000000"/>
        </w:rPr>
      </w:pPr>
      <w:r>
        <w:rPr>
          <w:rFonts w:ascii="Times New Roman" w:hAnsi="Times New Roman"/>
          <w:b/>
          <w:color w:val="000000"/>
        </w:rPr>
        <w:t>c)</w:t>
      </w:r>
      <w:r>
        <w:rPr>
          <w:rFonts w:ascii="Times New Roman" w:hAnsi="Times New Roman"/>
          <w:color w:val="000000"/>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 DA RESPONSABILIDADE DAS PARTES</w:t>
      </w:r>
    </w:p>
    <w:p>
      <w:pPr>
        <w:pStyle w:val="para37"/>
        <w:spacing w:before="0"/>
        <w:jc w:val="both"/>
        <w:widowControl w:val="0"/>
        <w:rPr>
          <w:rFonts w:ascii="Times New Roman" w:hAnsi="Times New Roman"/>
          <w:color w:val="000000"/>
        </w:rPr>
      </w:pPr>
      <w:r>
        <w:rPr>
          <w:rFonts w:ascii="Times New Roman" w:hAnsi="Times New Roman"/>
          <w:b/>
          <w:color w:val="000000"/>
        </w:rPr>
        <w:t>10.1.</w:t>
      </w:r>
      <w:r>
        <w:rPr>
          <w:rFonts w:ascii="Times New Roman" w:hAnsi="Times New Roman"/>
          <w:color w:val="000000"/>
        </w:rPr>
        <w:t xml:space="preserve"> Compete à Contratada:</w:t>
      </w:r>
    </w:p>
    <w:p>
      <w:pPr>
        <w:pStyle w:val="para37"/>
        <w:spacing w:before="0"/>
        <w:jc w:val="both"/>
        <w:widowControl w:val="0"/>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Entregar os produtos de acordo com as condições e prazos propostos respeitando-se o período de validade;</w:t>
      </w:r>
    </w:p>
    <w:p>
      <w:pPr>
        <w:pStyle w:val="para37"/>
        <w:spacing w:before="0"/>
        <w:jc w:val="both"/>
        <w:widowControl w:val="0"/>
        <w:rPr>
          <w:rFonts w:ascii="Times New Roman" w:hAnsi="Times New Roman"/>
          <w:color w:val="000000"/>
        </w:rPr>
      </w:pPr>
      <w:r>
        <w:rPr>
          <w:rFonts w:ascii="Times New Roman" w:hAnsi="Times New Roman"/>
          <w:b/>
          <w:color w:val="000000"/>
        </w:rPr>
        <w:t xml:space="preserve">b) </w:t>
      </w:r>
      <w:r>
        <w:rPr>
          <w:rFonts w:ascii="Times New Roman" w:hAnsi="Times New Roman"/>
          <w:color w:val="000000"/>
        </w:rPr>
        <w:t>Providenciar a imediata correção das deficiências apontadas pelo setor competente do Contratante;</w:t>
      </w:r>
    </w:p>
    <w:p>
      <w:pPr>
        <w:pStyle w:val="para37"/>
        <w:spacing w:before="0"/>
        <w:jc w:val="both"/>
        <w:widowControl w:val="0"/>
        <w:rPr>
          <w:rFonts w:ascii="Times New Roman" w:hAnsi="Times New Roman"/>
          <w:color w:val="000000"/>
        </w:rPr>
      </w:pPr>
      <w:r>
        <w:rPr>
          <w:rFonts w:ascii="Times New Roman" w:hAnsi="Times New Roman"/>
          <w:b/>
          <w:color w:val="000000"/>
        </w:rPr>
        <w:t xml:space="preserve">c) </w:t>
      </w:r>
      <w:r>
        <w:rPr>
          <w:rFonts w:ascii="Times New Roman" w:hAnsi="Times New Roman"/>
          <w:color w:val="000000"/>
        </w:rPr>
        <w:t>Manter, durante toda a execução do Contrato, em compatibilidade com as obrigações assumidas, todas as condições de habilitação e qualificação exigidas na licitação, conforme dispõe o inciso XIII, do artigo 55, da Lei Nº 8.666/93 e alterações;</w:t>
      </w:r>
    </w:p>
    <w:p>
      <w:pPr>
        <w:pStyle w:val="para37"/>
        <w:spacing w:before="0"/>
        <w:jc w:val="both"/>
        <w:widowControl w:val="0"/>
        <w:rPr>
          <w:rFonts w:ascii="Times New Roman" w:hAnsi="Times New Roman"/>
          <w:color w:val="000000"/>
        </w:rPr>
      </w:pPr>
      <w:r>
        <w:rPr>
          <w:rFonts w:ascii="Times New Roman" w:hAnsi="Times New Roman"/>
          <w:b/>
          <w:color w:val="000000"/>
        </w:rPr>
        <w:t>10.2</w:t>
      </w:r>
      <w:r>
        <w:rPr>
          <w:rFonts w:ascii="Times New Roman" w:hAnsi="Times New Roman"/>
          <w:color w:val="000000"/>
        </w:rPr>
        <w:t>. Compete à Contratante:</w:t>
      </w:r>
    </w:p>
    <w:p>
      <w:pPr>
        <w:pStyle w:val="para37"/>
        <w:spacing w:before="0"/>
        <w:jc w:val="both"/>
        <w:widowControl w:val="0"/>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Efetuar o pagamento do preço previsto na cláusula segunda, nos termos deste instrumento;</w:t>
      </w:r>
    </w:p>
    <w:p>
      <w:pPr>
        <w:pStyle w:val="para37"/>
        <w:spacing w:before="0"/>
        <w:jc w:val="both"/>
        <w:widowControl w:val="0"/>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Definir o local para entrega dos materiais adquiridos;</w:t>
      </w:r>
    </w:p>
    <w:p>
      <w:pPr>
        <w:pStyle w:val="para37"/>
        <w:spacing w:before="0"/>
        <w:jc w:val="both"/>
        <w:widowControl w:val="0"/>
        <w:rPr>
          <w:rFonts w:ascii="Times New Roman" w:hAnsi="Times New Roman"/>
          <w:color w:val="000000"/>
        </w:rPr>
      </w:pPr>
      <w:r>
        <w:rPr>
          <w:rFonts w:ascii="Times New Roman" w:hAnsi="Times New Roman"/>
          <w:b/>
          <w:color w:val="000000"/>
        </w:rPr>
        <w:t xml:space="preserve">c) </w:t>
      </w:r>
      <w:r>
        <w:rPr>
          <w:rFonts w:ascii="Times New Roman" w:hAnsi="Times New Roman"/>
          <w:color w:val="000000"/>
        </w:rPr>
        <w:t>Designar servidor (ou comissão de, no mínimo, 3 três membros, na hipótese do parágrafo 8º do art. 15 da Lei nº 8.666/93) responsável pelo acompanhamento e fiscalização na entrega dos produtos adquiridos.</w:t>
      </w:r>
    </w:p>
    <w:p>
      <w:pPr>
        <w:pStyle w:val="para37"/>
        <w:spacing w:before="0"/>
        <w:jc w:val="both"/>
        <w:widowControl w:val="0"/>
        <w:rPr>
          <w:rFonts w:ascii="Times New Roman" w:hAnsi="Times New Roman"/>
          <w:color w:val="000000"/>
        </w:rPr>
      </w:pPr>
      <w:r>
        <w:rPr>
          <w:rFonts w:ascii="Times New Roman" w:hAnsi="Times New Roman"/>
          <w:color w:val="000000"/>
        </w:rPr>
        <w:t>d) Aplicar-se-á no que couber o art. 65 da Lei 8.666/93.</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PRIMEIRA - DAS SANÇÕES ADMINISTRATIVAS</w:t>
      </w:r>
    </w:p>
    <w:p>
      <w:pPr>
        <w:spacing w:before="0"/>
        <w:jc w:val="both"/>
        <w:rPr>
          <w:b/>
          <w:color w:val="000000"/>
          <w:sz w:val="22"/>
          <w:szCs w:val="22"/>
        </w:rPr>
      </w:pPr>
      <w:r>
        <w:rPr>
          <w:b/>
          <w:color w:val="000000"/>
          <w:sz w:val="22"/>
          <w:szCs w:val="22"/>
        </w:rPr>
        <w:t>11.1.</w:t>
      </w:r>
      <w:r>
        <w:rPr>
          <w:color w:val="000000"/>
          <w:sz w:val="22"/>
          <w:szCs w:val="22"/>
        </w:rPr>
        <w:t xml:space="preserve"> Em caso de atraso na execução/entrega do objeto contratado, multa de 0,3% (três centésimos por cento) por dia de atraso, até o limite de 20% (vinte por cento) sobre o valor total do contrato.</w:t>
      </w:r>
      <w:r>
        <w:rPr>
          <w:b/>
          <w:color w:val="000000"/>
          <w:sz w:val="22"/>
          <w:szCs w:val="22"/>
        </w:rPr>
      </w:r>
    </w:p>
    <w:p>
      <w:pPr>
        <w:pStyle w:val="para37"/>
        <w:spacing w:before="0"/>
        <w:jc w:val="both"/>
        <w:widowControl w:val="0"/>
        <w:rPr>
          <w:rFonts w:ascii="Times New Roman" w:hAnsi="Times New Roman"/>
          <w:color w:val="000000"/>
        </w:rPr>
      </w:pPr>
      <w:r>
        <w:rPr>
          <w:rFonts w:ascii="Times New Roman" w:hAnsi="Times New Roman"/>
          <w:b/>
          <w:color w:val="000000"/>
        </w:rPr>
        <w:t>11.2.</w:t>
      </w:r>
      <w:r>
        <w:rPr>
          <w:rFonts w:ascii="Times New Roman" w:hAnsi="Times New Roman"/>
          <w:color w:val="000000"/>
        </w:rPr>
        <w:t xml:space="preserve">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color w:val="000000"/>
          <w:sz w:val="22"/>
          <w:szCs w:val="22"/>
        </w:rPr>
      </w:pPr>
      <w:r>
        <w:rPr>
          <w:b/>
          <w:color w:val="000000"/>
          <w:sz w:val="22"/>
          <w:szCs w:val="22"/>
        </w:rPr>
        <w:t>11.3.</w:t>
      </w:r>
      <w:r>
        <w:rPr>
          <w:color w:val="000000"/>
          <w:sz w:val="22"/>
          <w:szCs w:val="22"/>
        </w:rPr>
        <w:t xml:space="preserve"> A licitante/contratada sujeita-se ainda as seguinte penalidades:</w:t>
      </w:r>
    </w:p>
    <w:p>
      <w:pPr>
        <w:pStyle w:val="para37"/>
        <w:spacing w:before="0"/>
        <w:jc w:val="both"/>
        <w:widowControl w:val="0"/>
        <w:tabs defTabSz="709">
          <w:tab w:val="left" w:pos="567" w:leader="none"/>
        </w:tabs>
        <w:rPr>
          <w:rFonts w:ascii="Times New Roman" w:hAnsi="Times New Roman"/>
          <w:color w:val="000000"/>
        </w:rPr>
      </w:pPr>
      <w:r>
        <w:rPr>
          <w:rFonts w:ascii="Times New Roman" w:hAnsi="Times New Roman"/>
          <w:b/>
          <w:color w:val="000000"/>
        </w:rPr>
        <w:t>a)</w:t>
      </w:r>
      <w:r>
        <w:rPr>
          <w:rFonts w:ascii="Times New Roman" w:hAnsi="Times New Roman"/>
          <w:color w:val="000000"/>
        </w:rPr>
        <w:t xml:space="preserve"> Advertência;</w:t>
      </w:r>
    </w:p>
    <w:p>
      <w:pPr>
        <w:pStyle w:val="para37"/>
        <w:spacing w:before="0"/>
        <w:jc w:val="both"/>
        <w:widowControl w:val="0"/>
        <w:tabs defTabSz="709">
          <w:tab w:val="left" w:pos="567" w:leader="none"/>
        </w:tabs>
        <w:rPr>
          <w:rFonts w:ascii="Times New Roman" w:hAnsi="Times New Roman"/>
          <w:color w:val="000000"/>
        </w:rPr>
      </w:pPr>
      <w:r>
        <w:rPr>
          <w:rFonts w:ascii="Times New Roman" w:hAnsi="Times New Roman"/>
          <w:b/>
          <w:color w:val="000000"/>
        </w:rPr>
        <w:t>b)</w:t>
      </w:r>
      <w:r>
        <w:rPr>
          <w:rFonts w:ascii="Times New Roman" w:hAnsi="Times New Roman"/>
          <w:color w:val="000000"/>
        </w:rPr>
        <w:t xml:space="preserve"> Suspensão temporária de participar de licitações e impedimento de contratar com a administração municipal, por prazo de até 2 (dois) anos, e,</w:t>
      </w:r>
    </w:p>
    <w:p>
      <w:pPr>
        <w:pStyle w:val="para37"/>
        <w:spacing w:before="0"/>
        <w:jc w:val="both"/>
        <w:widowControl w:val="0"/>
        <w:tabs defTabSz="709">
          <w:tab w:val="left" w:pos="567" w:leader="none"/>
        </w:tabs>
        <w:rPr>
          <w:rFonts w:ascii="Times New Roman" w:hAnsi="Times New Roman"/>
          <w:color w:val="000000"/>
        </w:rPr>
      </w:pPr>
      <w:r>
        <w:rPr>
          <w:rFonts w:ascii="Times New Roman" w:hAnsi="Times New Roman"/>
          <w:b/>
          <w:color w:val="000000"/>
        </w:rPr>
        <w:t>c)</w:t>
      </w:r>
      <w:r>
        <w:rPr>
          <w:rFonts w:ascii="Times New Roman" w:hAnsi="Times New Roman"/>
          <w:color w:val="000000"/>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pStyle w:val="para37"/>
        <w:spacing w:before="0"/>
        <w:jc w:val="both"/>
        <w:widowControl w:val="0"/>
        <w:rPr>
          <w:rFonts w:ascii="Times New Roman" w:hAnsi="Times New Roman"/>
          <w:color w:val="000000"/>
        </w:rPr>
      </w:pPr>
      <w:r>
        <w:rPr>
          <w:rFonts w:ascii="Times New Roman" w:hAnsi="Times New Roman"/>
          <w:b/>
          <w:color w:val="000000"/>
        </w:rPr>
        <w:t>11.4</w:t>
      </w:r>
      <w:r>
        <w:rPr>
          <w:rFonts w:ascii="Times New Roman" w:hAnsi="Times New Roman"/>
          <w:color w:val="000000"/>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pStyle w:val="para37"/>
        <w:spacing w:before="0"/>
        <w:jc w:val="both"/>
        <w:widowControl w:val="0"/>
        <w:rPr>
          <w:rFonts w:ascii="Times New Roman" w:hAnsi="Times New Roman"/>
          <w:color w:val="000000"/>
        </w:rPr>
      </w:pPr>
      <w:r>
        <w:rPr>
          <w:rFonts w:ascii="Times New Roman" w:hAnsi="Times New Roman"/>
          <w:b/>
          <w:color w:val="000000"/>
        </w:rPr>
        <w:t>11.5</w:t>
      </w:r>
      <w:r>
        <w:rPr>
          <w:rFonts w:ascii="Times New Roman" w:hAnsi="Times New Roman"/>
          <w:color w:val="000000"/>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pStyle w:val="para37"/>
        <w:spacing w:before="0"/>
        <w:jc w:val="both"/>
        <w:widowControl w:val="0"/>
        <w:rPr>
          <w:rFonts w:ascii="Times New Roman" w:hAnsi="Times New Roman"/>
          <w:color w:val="000000"/>
        </w:rPr>
      </w:pPr>
      <w:r>
        <w:rPr>
          <w:rFonts w:ascii="Times New Roman" w:hAnsi="Times New Roman"/>
          <w:b/>
          <w:color w:val="000000"/>
        </w:rPr>
        <w:t>11.6</w:t>
      </w:r>
      <w:r>
        <w:rPr>
          <w:rFonts w:ascii="Times New Roman" w:hAnsi="Times New Roman"/>
          <w:color w:val="000000"/>
        </w:rPr>
        <w:t xml:space="preserve"> A falsidade de declaração prestada, em qualquer das declarações exigidas neste Edital, caracterizará o crime de que trata o art. 299 do código penal, além da sanção prevista no item 21.3.3 deste Edital.</w:t>
      </w:r>
    </w:p>
    <w:p>
      <w:pPr>
        <w:pStyle w:val="para37"/>
        <w:spacing w:before="0"/>
        <w:jc w:val="both"/>
        <w:widowControl w:val="0"/>
        <w:rPr>
          <w:rFonts w:ascii="Times New Roman" w:hAnsi="Times New Roman"/>
          <w:color w:val="000000"/>
        </w:rPr>
      </w:pPr>
      <w:r>
        <w:rPr>
          <w:rFonts w:ascii="Times New Roman" w:hAnsi="Times New Roman"/>
          <w:b/>
          <w:color w:val="000000"/>
        </w:rPr>
        <w:t>11.7.</w:t>
      </w:r>
      <w:r>
        <w:rPr>
          <w:rFonts w:ascii="Times New Roman" w:hAnsi="Times New Roman"/>
          <w:color w:val="000000"/>
        </w:rPr>
        <w:t xml:space="preserve"> A aplicação da multa de mora não impede que a Administração rescinda unilateralmente o contrato e aplique as outras sanções previstas no item 11.3 desta Ata e na Lei Federal nº. 8.666/93;</w:t>
      </w:r>
    </w:p>
    <w:p>
      <w:pPr>
        <w:pStyle w:val="para37"/>
        <w:spacing w:before="0"/>
        <w:jc w:val="both"/>
        <w:widowControl w:val="0"/>
        <w:rPr>
          <w:rFonts w:ascii="Times New Roman" w:hAnsi="Times New Roman"/>
          <w:color w:val="000000"/>
        </w:rPr>
      </w:pPr>
      <w:r>
        <w:rPr>
          <w:rFonts w:ascii="Times New Roman" w:hAnsi="Times New Roman"/>
          <w:b/>
          <w:color w:val="000000"/>
        </w:rPr>
        <w:t>11.8</w:t>
      </w:r>
      <w:r>
        <w:rPr>
          <w:rFonts w:ascii="Times New Roman" w:hAnsi="Times New Roman"/>
          <w:color w:val="000000"/>
        </w:rPr>
        <w:t xml:space="preserve"> As sanções previstas nas alíneas “a”, “b” e “c” do item 11.3, não são cumulativas entre si, mas poderão ser aplicadas juntamente com a multa compensatória por perdas e danos.</w:t>
      </w:r>
    </w:p>
    <w:p>
      <w:pPr>
        <w:pStyle w:val="para37"/>
        <w:spacing w:before="0"/>
        <w:jc w:val="both"/>
        <w:widowControl w:val="0"/>
        <w:rPr>
          <w:rFonts w:ascii="Times New Roman" w:hAnsi="Times New Roman"/>
          <w:color w:val="000000"/>
        </w:rPr>
      </w:pPr>
      <w:r>
        <w:rPr>
          <w:rFonts w:ascii="Times New Roman" w:hAnsi="Times New Roman"/>
          <w:b/>
          <w:color w:val="000000"/>
        </w:rPr>
        <w:t>11.9</w:t>
      </w:r>
      <w:r>
        <w:rPr>
          <w:rFonts w:ascii="Times New Roman" w:hAnsi="Times New Roman"/>
          <w:color w:val="000000"/>
        </w:rPr>
        <w:t>. As sanções administrativas somente serão aplicadas mediante regular processo administrativo, assegurada a ampla defesa e o contraditório, observando-se as seguintes regras:</w:t>
      </w:r>
    </w:p>
    <w:p>
      <w:pPr>
        <w:pStyle w:val="para37"/>
        <w:spacing w:before="0"/>
        <w:jc w:val="both"/>
        <w:widowControl w:val="0"/>
        <w:rPr>
          <w:rFonts w:ascii="Times New Roman" w:hAnsi="Times New Roman"/>
          <w:color w:val="000000"/>
        </w:rPr>
      </w:pPr>
      <w:r>
        <w:rPr>
          <w:rFonts w:ascii="Times New Roman" w:hAnsi="Times New Roman"/>
          <w:b/>
          <w:color w:val="000000"/>
        </w:rPr>
        <w:t>11.9.1</w:t>
      </w:r>
      <w:r>
        <w:rPr>
          <w:rFonts w:ascii="Times New Roman" w:hAnsi="Times New Roman"/>
          <w:color w:val="000000"/>
        </w:rPr>
        <w:t>. Antes da aplicação de qualquer sanção administrativa, deverá notificar o licitante contratado, facultando-lhe a apresentação de defesa prévia;</w:t>
      </w:r>
    </w:p>
    <w:p>
      <w:pPr>
        <w:pStyle w:val="para37"/>
        <w:spacing w:before="0"/>
        <w:jc w:val="both"/>
        <w:widowControl w:val="0"/>
        <w:rPr>
          <w:rFonts w:ascii="Times New Roman" w:hAnsi="Times New Roman"/>
          <w:color w:val="000000"/>
        </w:rPr>
      </w:pPr>
      <w:r>
        <w:rPr>
          <w:rFonts w:ascii="Times New Roman" w:hAnsi="Times New Roman"/>
          <w:b/>
          <w:color w:val="000000"/>
        </w:rPr>
        <w:t>11.9.2.</w:t>
      </w:r>
      <w:r>
        <w:rPr>
          <w:rFonts w:ascii="Times New Roman" w:hAnsi="Times New Roman"/>
          <w:color w:val="00000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pStyle w:val="para37"/>
        <w:spacing w:before="0"/>
        <w:jc w:val="both"/>
        <w:widowControl w:val="0"/>
        <w:rPr>
          <w:rFonts w:ascii="Times New Roman" w:hAnsi="Times New Roman"/>
          <w:color w:val="000000"/>
        </w:rPr>
      </w:pPr>
      <w:r>
        <w:rPr>
          <w:rFonts w:ascii="Times New Roman" w:hAnsi="Times New Roman"/>
          <w:b/>
          <w:color w:val="000000"/>
        </w:rPr>
        <w:t>11.9.3.</w:t>
      </w:r>
      <w:r>
        <w:rPr>
          <w:rFonts w:ascii="Times New Roman" w:hAnsi="Times New Roman"/>
          <w:color w:val="00000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pStyle w:val="para37"/>
        <w:spacing w:before="0"/>
        <w:jc w:val="both"/>
        <w:widowControl w:val="0"/>
        <w:rPr>
          <w:rFonts w:ascii="Times New Roman" w:hAnsi="Times New Roman"/>
          <w:color w:val="000000"/>
        </w:rPr>
      </w:pPr>
      <w:r>
        <w:rPr>
          <w:rFonts w:ascii="Times New Roman" w:hAnsi="Times New Roman"/>
          <w:b/>
          <w:color w:val="000000"/>
        </w:rPr>
        <w:t>11.10.</w:t>
      </w:r>
      <w:r>
        <w:rPr>
          <w:rFonts w:ascii="Times New Roman" w:hAnsi="Times New Roman"/>
          <w:color w:val="00000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pPr>
        <w:pStyle w:val="para37"/>
        <w:spacing w:before="0"/>
        <w:jc w:val="both"/>
        <w:widowControl w:val="0"/>
        <w:rPr>
          <w:rFonts w:ascii="Times New Roman" w:hAnsi="Times New Roman"/>
          <w:color w:val="000000"/>
        </w:rPr>
      </w:pPr>
      <w:r>
        <w:rPr>
          <w:rFonts w:ascii="Times New Roman" w:hAnsi="Times New Roman"/>
          <w:b/>
          <w:color w:val="000000"/>
        </w:rPr>
        <w:t>11.11.</w:t>
      </w:r>
      <w:r>
        <w:rPr>
          <w:rFonts w:ascii="Times New Roman" w:hAnsi="Times New Roman"/>
          <w:color w:val="000000"/>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pStyle w:val="para37"/>
        <w:spacing w:before="0"/>
        <w:jc w:val="both"/>
        <w:widowControl w:val="0"/>
        <w:rPr>
          <w:rFonts w:ascii="Times New Roman" w:hAnsi="Times New Roman"/>
          <w:color w:val="000000"/>
        </w:rPr>
      </w:pPr>
      <w:r>
        <w:rPr>
          <w:rFonts w:ascii="Times New Roman" w:hAnsi="Times New Roman"/>
          <w:b/>
          <w:color w:val="000000"/>
        </w:rPr>
        <w:t xml:space="preserve">11.12. </w:t>
      </w:r>
      <w:r>
        <w:rPr>
          <w:rFonts w:ascii="Times New Roman" w:hAnsi="Times New Roman"/>
          <w:color w:val="000000"/>
        </w:rPr>
        <w:t>O recurso administrativo a que se refere a alínea anterior será submetido à análise da Procuradoria Geral do Município.</w:t>
      </w:r>
    </w:p>
    <w:p>
      <w:pPr>
        <w:pStyle w:val="para37"/>
        <w:spacing w:before="0"/>
        <w:jc w:val="both"/>
        <w:widowControl w:val="0"/>
        <w:rPr>
          <w:rFonts w:ascii="Times New Roman" w:hAnsi="Times New Roman"/>
          <w:color w:val="000000"/>
        </w:rPr>
      </w:pPr>
      <w:r>
        <w:rPr>
          <w:rFonts w:ascii="Times New Roman" w:hAnsi="Times New Roman"/>
          <w:b/>
          <w:color w:val="000000"/>
        </w:rPr>
        <w:t xml:space="preserve">11.13. </w:t>
      </w:r>
      <w:r>
        <w:rPr>
          <w:rFonts w:ascii="Times New Roman" w:hAnsi="Times New Roman"/>
          <w:color w:val="000000"/>
        </w:rPr>
        <w:t>Os montantes relativos às multas moratória e compensatória aplicadas pela Administração poderão ser cobrados judicialmente ou descontados dos valores devidos ao licitante contratado, relativos às parcelas efetivamente executadas do contrato.</w:t>
      </w:r>
    </w:p>
    <w:p>
      <w:pPr>
        <w:pStyle w:val="para37"/>
        <w:spacing w:before="0"/>
        <w:jc w:val="both"/>
        <w:widowControl w:val="0"/>
        <w:rPr>
          <w:rFonts w:ascii="Times New Roman" w:hAnsi="Times New Roman"/>
          <w:color w:val="000000"/>
        </w:rPr>
      </w:pPr>
      <w:r>
        <w:rPr>
          <w:rFonts w:ascii="Times New Roman" w:hAnsi="Times New Roman"/>
          <w:b/>
          <w:color w:val="000000"/>
        </w:rPr>
        <w:t>11.14.</w:t>
      </w:r>
      <w:r>
        <w:rPr>
          <w:rFonts w:ascii="Times New Roman" w:hAnsi="Times New Roman"/>
          <w:color w:val="000000"/>
        </w:rPr>
        <w:t xml:space="preserve"> Em qualquer caso, se após o desconto dos valores relativos às multas restar valor residual em desfavor do licitante contratado, é obrigatória a cobrança judicial da diferença.</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SEGUNDA - DA RESCISÃO</w:t>
      </w:r>
    </w:p>
    <w:p>
      <w:pPr>
        <w:pStyle w:val="para37"/>
        <w:spacing w:before="0"/>
        <w:jc w:val="both"/>
        <w:widowControl w:val="0"/>
        <w:rPr>
          <w:rFonts w:ascii="Times New Roman" w:hAnsi="Times New Roman"/>
          <w:color w:val="000000"/>
        </w:rPr>
      </w:pPr>
      <w:r>
        <w:rPr>
          <w:rFonts w:ascii="Times New Roman" w:hAnsi="Times New Roman"/>
          <w:b/>
          <w:color w:val="000000"/>
        </w:rPr>
        <w:t>12.1.</w:t>
      </w:r>
      <w:r>
        <w:rPr>
          <w:rFonts w:ascii="Times New Roman" w:hAnsi="Times New Roman"/>
          <w:color w:val="000000"/>
        </w:rPr>
        <w:t xml:space="preserve"> A rescisão da Ata poderá ocorrer nas hipóteses e condições previstas nos artigos 78 e 79 da Lei nº 8.666/93, no que couberem, com aplicação do art. 80 da mesma Lei, se for o caso.</w:t>
      </w:r>
    </w:p>
    <w:p>
      <w:pPr>
        <w:pStyle w:val="para41"/>
        <w:ind w:left="0"/>
        <w:spacing w:before="0"/>
        <w:jc w:val="both"/>
        <w:rPr>
          <w:color w:val="000000"/>
          <w:sz w:val="22"/>
          <w:szCs w:val="22"/>
        </w:rPr>
      </w:pPr>
      <w:r>
        <w:rPr>
          <w:color w:val="000000"/>
          <w:sz w:val="22"/>
          <w:szCs w:val="22"/>
        </w:rPr>
        <w:t>12.2. Aplicar-se-á à contratação, no que couber no art. 80 da Lei 8.666/93.</w:t>
      </w:r>
    </w:p>
    <w:p>
      <w:pPr>
        <w:pStyle w:val="para41"/>
        <w:ind w:left="0"/>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TERCEIRA - DOS ADITAMENTOS</w:t>
      </w:r>
    </w:p>
    <w:p>
      <w:pPr>
        <w:pStyle w:val="para37"/>
        <w:spacing w:before="0"/>
        <w:jc w:val="both"/>
        <w:widowControl w:val="0"/>
        <w:rPr>
          <w:rFonts w:ascii="Times New Roman" w:hAnsi="Times New Roman"/>
          <w:color w:val="000000"/>
        </w:rPr>
      </w:pPr>
      <w:r>
        <w:rPr>
          <w:rFonts w:ascii="Times New Roman" w:hAnsi="Times New Roman"/>
          <w:b/>
          <w:color w:val="000000"/>
        </w:rPr>
        <w:t>13.1.</w:t>
      </w:r>
      <w:r>
        <w:rPr>
          <w:rFonts w:ascii="Times New Roman" w:hAnsi="Times New Roman"/>
          <w:color w:val="000000"/>
        </w:rPr>
        <w:t xml:space="preserve"> A presente Ata poderá ser aditada, estritamente, nos termos previstos na Lei n</w:t>
      </w:r>
      <w:r>
        <w:rPr>
          <w:rFonts w:ascii="Times New Roman" w:hAnsi="Times New Roman"/>
          <w:color w:val="000000"/>
          <w:u w:color="auto" w:val="single"/>
          <w:vertAlign w:val="superscript"/>
        </w:rPr>
        <w:t>o</w:t>
      </w:r>
      <w:r>
        <w:rPr>
          <w:rFonts w:ascii="Times New Roman" w:hAnsi="Times New Roman"/>
          <w:color w:val="000000"/>
        </w:rPr>
        <w:t xml:space="preserve"> 8.666/93, após manifestação formal da Procuradoria Geral do Município.</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QUARTA - DOS RECURSOS ADMINISTRATIVOS</w:t>
      </w:r>
    </w:p>
    <w:p>
      <w:pPr>
        <w:pStyle w:val="para37"/>
        <w:spacing w:before="0"/>
        <w:jc w:val="both"/>
        <w:widowControl w:val="0"/>
        <w:rPr>
          <w:rFonts w:ascii="Times New Roman" w:hAnsi="Times New Roman"/>
          <w:color w:val="000000"/>
        </w:rPr>
      </w:pPr>
      <w:r>
        <w:rPr>
          <w:rFonts w:ascii="Times New Roman" w:hAnsi="Times New Roman"/>
          <w:b/>
          <w:color w:val="000000"/>
        </w:rPr>
        <w:t>14.1.</w:t>
      </w:r>
      <w:r>
        <w:rPr>
          <w:rFonts w:ascii="Times New Roman" w:hAnsi="Times New Roman"/>
          <w:color w:val="000000"/>
        </w:rPr>
        <w:t xml:space="preserve"> Os recursos, representação e pedido de reconsideração, somente serão acolhidos nos termos do art. 109, da Lei n</w:t>
      </w:r>
      <w:r>
        <w:rPr>
          <w:rFonts w:ascii="Times New Roman" w:hAnsi="Times New Roman"/>
          <w:color w:val="000000"/>
          <w:u w:color="auto" w:val="single"/>
          <w:vertAlign w:val="superscript"/>
        </w:rPr>
        <w:t>o</w:t>
      </w:r>
      <w:r>
        <w:rPr>
          <w:rFonts w:ascii="Times New Roman" w:hAnsi="Times New Roman"/>
          <w:color w:val="000000"/>
        </w:rPr>
        <w:t xml:space="preserve"> 8.666/93 e alterações posteriores.</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CLÁUSULA DÉCIMA QUINTA - DO ACOMPANHAMENTO E DA FISCALIZAÇÃO</w:t>
      </w:r>
    </w:p>
    <w:p>
      <w:pPr>
        <w:pStyle w:val="para37"/>
        <w:spacing w:before="0"/>
        <w:jc w:val="both"/>
        <w:widowControl w:val="0"/>
        <w:rPr>
          <w:rFonts w:ascii="Times New Roman" w:hAnsi="Times New Roman"/>
          <w:color w:val="000000"/>
        </w:rPr>
      </w:pPr>
      <w:r>
        <w:rPr>
          <w:rFonts w:ascii="Times New Roman" w:hAnsi="Times New Roman"/>
          <w:b/>
          <w:color w:val="000000"/>
        </w:rPr>
        <w:t>15.1.</w:t>
      </w:r>
      <w:r>
        <w:rPr>
          <w:rFonts w:ascii="Times New Roman" w:hAnsi="Times New Roman"/>
          <w:color w:val="000000"/>
        </w:rPr>
        <w:t xml:space="preserve"> A execução do contrato será acompanhada pelo </w:t>
      </w:r>
      <w:r>
        <w:rPr>
          <w:rFonts w:ascii="Times New Roman" w:hAnsi="Times New Roman"/>
          <w:b/>
          <w:color w:val="000000"/>
        </w:rPr>
        <w:t>servidor Marcos Paulo Schifler</w:t>
      </w:r>
      <w:r>
        <w:rPr>
          <w:rFonts w:ascii="Times New Roman" w:hAnsi="Times New Roman"/>
          <w:color w:val="000000"/>
        </w:rPr>
        <w:t xml:space="preserve"> designado representante da Administração nos termos do art. 67 da Lei nº 8.666/93, que deverá atestar à execução do objeto contratado, observadas as disposições deste Contrato, sem o que não será permitido qualquer pagamento.</w:t>
      </w:r>
    </w:p>
    <w:p>
      <w:pPr>
        <w:pStyle w:val="para37"/>
        <w:spacing w:before="0"/>
        <w:jc w:val="both"/>
        <w:rPr>
          <w:rFonts w:ascii="Times New Roman" w:hAnsi="Times New Roman"/>
          <w:color w:val="000000"/>
        </w:rPr>
      </w:pPr>
      <w:r>
        <w:rPr>
          <w:rFonts w:ascii="Times New Roman" w:hAnsi="Times New Roman"/>
          <w:b/>
          <w:color w:val="000000"/>
        </w:rPr>
        <w:t>15.2.</w:t>
      </w:r>
      <w:r>
        <w:rPr>
          <w:rFonts w:ascii="Times New Roman" w:hAnsi="Times New Roman"/>
          <w:color w:val="000000"/>
        </w:rPr>
        <w:t xml:space="preserve"> Quando necessário, serão efetuados testes por amostragem para avaliação dos produtos, utilizando uma quantidade entre 1 e 10% de cada item do empenho, escolhidos aleatoriamente.</w:t>
      </w:r>
    </w:p>
    <w:p>
      <w:pPr>
        <w:pStyle w:val="para37"/>
        <w:spacing w:before="0"/>
        <w:jc w:val="both"/>
        <w:rPr>
          <w:rFonts w:ascii="Times New Roman" w:hAnsi="Times New Roman"/>
          <w:color w:val="000000"/>
        </w:rPr>
      </w:pPr>
      <w:r>
        <w:rPr>
          <w:rFonts w:ascii="Times New Roman" w:hAnsi="Times New Roman"/>
          <w:b/>
          <w:color w:val="000000"/>
        </w:rPr>
        <w:t>15.3.</w:t>
      </w:r>
      <w:r>
        <w:rPr>
          <w:rFonts w:ascii="Times New Roman" w:hAnsi="Times New Roman"/>
          <w:color w:val="000000"/>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pPr>
        <w:pStyle w:val="para37"/>
        <w:spacing w:before="0"/>
        <w:jc w:val="both"/>
        <w:rPr>
          <w:rFonts w:ascii="Times New Roman" w:hAnsi="Times New Roman"/>
          <w:color w:val="000000"/>
        </w:rPr>
      </w:pPr>
      <w:r>
        <w:rPr>
          <w:rFonts w:ascii="Times New Roman" w:hAnsi="Times New Roman"/>
          <w:b/>
          <w:color w:val="000000"/>
        </w:rPr>
        <w:t>15.4.</w:t>
      </w:r>
      <w:r>
        <w:rPr>
          <w:rFonts w:ascii="Times New Roman" w:hAnsi="Times New Roman"/>
          <w:color w:val="000000"/>
        </w:rPr>
        <w:t xml:space="preserve"> A ação da fiscalização não exonera a Contratada de suas responsabilidades contratuais.</w:t>
      </w:r>
    </w:p>
    <w:p>
      <w:pPr>
        <w:pStyle w:val="para37"/>
        <w:spacing w:before="0"/>
        <w:jc w:val="both"/>
        <w:widowControl w:val="0"/>
        <w:rPr>
          <w:rFonts w:ascii="Times New Roman" w:hAnsi="Times New Roman"/>
          <w:b/>
          <w:color w:val="000000"/>
        </w:rPr>
      </w:pPr>
      <w:r>
        <w:rPr>
          <w:rFonts w:ascii="Times New Roman" w:hAnsi="Times New Roman"/>
          <w:b/>
          <w:color w:val="000000"/>
        </w:rPr>
        <w:t>CLÁUSULA DÉCIMA SEXTA - DO FORO</w:t>
      </w:r>
    </w:p>
    <w:p>
      <w:pPr>
        <w:pStyle w:val="para37"/>
        <w:spacing w:before="0"/>
        <w:jc w:val="both"/>
        <w:widowControl w:val="0"/>
        <w:rPr>
          <w:rFonts w:ascii="Times New Roman" w:hAnsi="Times New Roman"/>
          <w:color w:val="000000"/>
        </w:rPr>
      </w:pPr>
      <w:r>
        <w:rPr>
          <w:rFonts w:ascii="Times New Roman" w:hAnsi="Times New Roman"/>
          <w:b/>
          <w:color w:val="000000"/>
        </w:rPr>
        <w:t>16.1.</w:t>
      </w:r>
      <w:r>
        <w:rPr>
          <w:rFonts w:ascii="Times New Roman" w:hAnsi="Times New Roman"/>
          <w:color w:val="000000"/>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color w:val="000000"/>
        </w:rPr>
      </w:pPr>
      <w:r>
        <w:rPr>
          <w:rFonts w:ascii="Times New Roman" w:hAnsi="Times New Roman"/>
          <w:color w:val="000000"/>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t>São Domingos do Norte/ES,  ___ de janeiro de 2020.</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rPr>
          <w:b/>
          <w:iCs/>
          <w:color w:val="000000"/>
          <w:sz w:val="22"/>
          <w:szCs w:val="22"/>
        </w:rPr>
      </w:pPr>
      <w:r>
        <w:rPr>
          <w:b/>
          <w:iCs/>
          <w:color w:val="000000"/>
          <w:sz w:val="22"/>
          <w:szCs w:val="22"/>
        </w:rPr>
        <w:t>ANEXO X</w:t>
      </w:r>
    </w:p>
    <w:p>
      <w:pPr>
        <w:spacing/>
        <w:jc w:val="both"/>
        <w:rPr>
          <w:b/>
          <w:iCs/>
          <w:color w:val="000000"/>
          <w:sz w:val="22"/>
          <w:szCs w:val="22"/>
        </w:rPr>
      </w:pPr>
      <w:r>
        <w:rPr>
          <w:b/>
          <w:iCs/>
          <w:color w:val="000000"/>
          <w:sz w:val="22"/>
          <w:szCs w:val="22"/>
        </w:rPr>
      </w:r>
    </w:p>
    <w:p>
      <w:pPr>
        <w:pStyle w:val="para33"/>
        <w:spacing w:before="0"/>
        <w:tabs defTabSz="708"/>
        <w:rPr>
          <w:color w:val="000000"/>
          <w:sz w:val="22"/>
          <w:szCs w:val="22"/>
        </w:rPr>
      </w:pPr>
      <w:r>
        <w:rPr>
          <w:color w:val="000000"/>
          <w:sz w:val="22"/>
          <w:szCs w:val="22"/>
        </w:rPr>
        <w:t>MINUTA DO CONTRATO</w:t>
      </w:r>
    </w:p>
    <w:p>
      <w:pPr>
        <w:pStyle w:val="para33"/>
        <w:spacing w:before="0"/>
        <w:jc w:val="both"/>
        <w:tabs defTabSz="708"/>
        <w:rPr>
          <w:color w:val="000000"/>
          <w:sz w:val="22"/>
          <w:szCs w:val="22"/>
        </w:rPr>
      </w:pPr>
      <w:r>
        <w:rPr>
          <w:color w:val="000000"/>
          <w:sz w:val="22"/>
          <w:szCs w:val="22"/>
        </w:rPr>
      </w:r>
    </w:p>
    <w:p>
      <w:pPr>
        <w:pStyle w:val="para33"/>
        <w:spacing w:before="0"/>
        <w:jc w:val="both"/>
        <w:tabs defTabSz="708"/>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tabs defTabSz="708"/>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5254/2019, 5260/2019, 5264/2019, 5276/2019, 5299/2019, 5402/2019</w:t>
      </w:r>
    </w:p>
    <w:p>
      <w:pPr>
        <w:pStyle w:val="para25"/>
        <w:spacing w:before="0" w:after="0"/>
        <w:jc w:val="both"/>
        <w:tabs defTabSz="708"/>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04/2020 - FMS</w:t>
      </w:r>
    </w:p>
    <w:p>
      <w:pPr>
        <w:pStyle w:val="para22"/>
        <w:ind w:left="3402"/>
        <w:spacing w:before="0"/>
        <w:jc w:val="both"/>
        <w:tabs defTabSz="708"/>
        <w:rPr>
          <w:rStyle w:val="char6"/>
          <w:sz w:val="22"/>
          <w:szCs w:val="22"/>
        </w:rPr>
      </w:pPr>
      <w:r>
        <w:rPr>
          <w:rStyle w:val="char6"/>
          <w:sz w:val="22"/>
          <w:szCs w:val="22"/>
        </w:rPr>
      </w:r>
    </w:p>
    <w:p>
      <w:pPr>
        <w:pStyle w:val="para22"/>
        <w:ind w:left="3402"/>
        <w:spacing w:before="0"/>
        <w:jc w:val="both"/>
        <w:tabs defTabSz="708"/>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tabs defTabSz="708"/>
        <w:rPr>
          <w:sz w:val="22"/>
          <w:szCs w:val="22"/>
        </w:rPr>
      </w:pPr>
      <w:r>
        <w:rPr>
          <w:sz w:val="22"/>
          <w:szCs w:val="22"/>
        </w:rPr>
      </w:r>
    </w:p>
    <w:p>
      <w:pPr>
        <w:pStyle w:val="para25"/>
        <w:spacing w:before="0" w:after="0"/>
        <w:jc w:val="both"/>
        <w:tabs defTabSz="708"/>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8.883 e Lei Complementar nº 123/2006, de acordo com os termos do Processo de n</w:t>
      </w:r>
      <w:r>
        <w:rPr>
          <w:color w:val="000000"/>
          <w:sz w:val="22"/>
          <w:szCs w:val="22"/>
          <w:u w:color="auto" w:val="single"/>
          <w:vertAlign w:val="superscript"/>
        </w:rPr>
        <w:t>o</w:t>
      </w:r>
      <w:r>
        <w:rPr>
          <w:color w:val="000000"/>
          <w:sz w:val="22"/>
          <w:szCs w:val="22"/>
        </w:rPr>
        <w:t xml:space="preserve"> XXXX/2020,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pStyle w:val="para25"/>
        <w:spacing w:before="0" w:after="0"/>
        <w:jc w:val="both"/>
        <w:tabs defTabSz="708"/>
        <w:rPr>
          <w:color w:val="000000"/>
          <w:sz w:val="22"/>
          <w:szCs w:val="22"/>
        </w:rPr>
      </w:pPr>
      <w:r>
        <w:rPr>
          <w:color w:val="000000"/>
          <w:sz w:val="22"/>
          <w:szCs w:val="22"/>
        </w:rPr>
      </w:r>
    </w:p>
    <w:p>
      <w:pPr>
        <w:spacing w:before="0"/>
        <w:jc w:val="both"/>
        <w:tabs defTabSz="708"/>
        <w:rPr>
          <w:b/>
          <w:color w:val="000000"/>
          <w:sz w:val="22"/>
          <w:szCs w:val="22"/>
        </w:rPr>
      </w:pPr>
      <w:r>
        <w:rPr>
          <w:b/>
          <w:color w:val="000000"/>
          <w:sz w:val="22"/>
          <w:szCs w:val="22"/>
        </w:rPr>
        <w:t>CLÁUSULA PRIMEIRA - DO OBJETO</w:t>
      </w:r>
    </w:p>
    <w:p>
      <w:pPr>
        <w:spacing w:before="0"/>
        <w:jc w:val="both"/>
        <w:tabs defTabSz="708"/>
        <w:rPr>
          <w:rFonts w:eastAsia="Batang"/>
          <w:color w:val="000000"/>
          <w:sz w:val="22"/>
          <w:szCs w:val="22"/>
        </w:rPr>
      </w:pPr>
      <w:r>
        <w:rPr>
          <w:rFonts w:eastAsia="Batang"/>
          <w:color w:val="000000"/>
          <w:sz w:val="22"/>
          <w:szCs w:val="22"/>
        </w:rPr>
        <w:t>1.1</w:t>
      </w:r>
      <w:r>
        <w:rPr>
          <w:color w:val="000000"/>
          <w:sz w:val="22"/>
          <w:szCs w:val="22"/>
        </w:rPr>
        <w:t>.</w:t>
      </w:r>
      <w:r>
        <w:rPr>
          <w:rFonts w:eastAsia="Batang"/>
          <w:color w:val="000000"/>
          <w:sz w:val="22"/>
          <w:szCs w:val="22"/>
        </w:rPr>
        <w:t xml:space="preserve"> Aquisição de combustíveis para serem usados nos veículos lotados na  Secretaria de Saúde desta Prefeitura Municipal de São Domingos do Norte. Estes se fazem necessários para atender as necessidades dos funcionários  quanto as dos munícipes,  para o exercício de 2020.</w:t>
      </w:r>
      <w:r>
        <w:rPr>
          <w:rFonts w:eastAsia="Batang"/>
          <w:color w:val="000000"/>
          <w:sz w:val="22"/>
          <w:szCs w:val="22"/>
        </w:rPr>
      </w:r>
    </w:p>
    <w:p>
      <w:pPr>
        <w:spacing w:before="0"/>
        <w:jc w:val="both"/>
        <w:tabs defTabSz="708"/>
        <w:rPr>
          <w:rFonts w:eastAsia="Batang"/>
          <w:color w:val="000000"/>
          <w:sz w:val="22"/>
          <w:szCs w:val="22"/>
        </w:rPr>
      </w:pPr>
      <w:r>
        <w:rPr>
          <w:rFonts w:eastAsia="Batang"/>
          <w:color w:val="000000"/>
          <w:sz w:val="22"/>
          <w:szCs w:val="22"/>
        </w:rPr>
      </w:r>
    </w:p>
    <w:p>
      <w:pPr>
        <w:pStyle w:val="para37"/>
        <w:spacing w:before="0"/>
        <w:jc w:val="both"/>
        <w:tabs defTabSz="708"/>
        <w:rPr>
          <w:rFonts w:ascii="Times New Roman" w:hAnsi="Times New Roman"/>
          <w:b/>
          <w:color w:val="000000"/>
        </w:rPr>
      </w:pPr>
      <w:r>
        <w:rPr>
          <w:rFonts w:ascii="Times New Roman" w:hAnsi="Times New Roman"/>
          <w:b/>
          <w:color w:val="000000"/>
        </w:rPr>
        <w:t>CLÁUSULA SEGUNDA – VIGÊNCIA</w:t>
      </w:r>
    </w:p>
    <w:p>
      <w:pPr>
        <w:pStyle w:val="para37"/>
        <w:spacing w:before="0"/>
        <w:jc w:val="both"/>
        <w:tabs defTabSz="708"/>
        <w:rPr>
          <w:rFonts w:ascii="Times New Roman" w:hAnsi="Times New Roman"/>
          <w:color w:val="000000"/>
        </w:rPr>
      </w:pPr>
      <w:r>
        <w:rPr>
          <w:rFonts w:ascii="Times New Roman" w:hAnsi="Times New Roman"/>
          <w:color w:val="000000"/>
        </w:rPr>
        <w:t xml:space="preserve">2.1 </w:t>
      </w:r>
      <w:r>
        <w:rPr>
          <w:rFonts w:ascii="Times New Roman" w:hAnsi="Times New Roman" w:eastAsia="BookmanOldStyle"/>
          <w:color w:val="000000"/>
        </w:rPr>
        <w:t xml:space="preserve">- </w:t>
      </w:r>
      <w:r>
        <w:rPr>
          <w:rFonts w:ascii="Times New Roman" w:hAnsi="Times New Roman"/>
          <w:color w:val="000000"/>
        </w:rPr>
        <w:t xml:space="preserve">O contrato terá inicio após sua assinatura validade do contrato até </w:t>
      </w:r>
      <w:r>
        <w:rPr>
          <w:rFonts w:ascii="Times New Roman" w:hAnsi="Times New Roman"/>
          <w:b/>
          <w:color w:val="000000"/>
        </w:rPr>
        <w:t>31/12/2020.</w:t>
      </w:r>
      <w:r>
        <w:rPr>
          <w:rFonts w:ascii="Times New Roman" w:hAnsi="Times New Roman"/>
          <w:color w:val="000000"/>
        </w:rPr>
      </w:r>
    </w:p>
    <w:p>
      <w:pPr>
        <w:spacing w:before="0"/>
        <w:jc w:val="both"/>
        <w:tabs defTabSz="708"/>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spacing w:before="0"/>
        <w:jc w:val="both"/>
        <w:tabs defTabSz="708"/>
        <w:rPr>
          <w:color w:val="000000"/>
          <w:sz w:val="22"/>
          <w:szCs w:val="22"/>
        </w:rPr>
      </w:pPr>
      <w:r>
        <w:rPr>
          <w:color w:val="000000"/>
          <w:sz w:val="22"/>
          <w:szCs w:val="22"/>
        </w:rPr>
      </w:r>
    </w:p>
    <w:p>
      <w:pPr>
        <w:pStyle w:val="para37"/>
        <w:spacing w:before="0"/>
        <w:jc w:val="both"/>
        <w:tabs defTabSz="708"/>
        <w:rPr>
          <w:rFonts w:ascii="Times New Roman" w:hAnsi="Times New Roman"/>
          <w:b/>
          <w:color w:val="000000"/>
        </w:rPr>
      </w:pPr>
      <w:r>
        <w:rPr>
          <w:rFonts w:ascii="Times New Roman" w:hAnsi="Times New Roman"/>
          <w:b/>
          <w:color w:val="000000"/>
        </w:rPr>
        <w:t>CLÁUSULA TERCEIRA - VALOR DO CONTRATO, PAGAMENTO E RECURSOS:</w:t>
      </w:r>
    </w:p>
    <w:p>
      <w:pPr>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 xml:space="preserve">3.1 O pagamento será efetuado em até 15 (dias) dia após o recebimento da Nota Fiscal, </w:t>
        <w:tab/>
        <w:t>e o atestado do fiscal do contrato.</w:t>
      </w:r>
    </w:p>
    <w:p>
      <w:pPr>
        <w:spacing w:before="0"/>
        <w:jc w:val="left"/>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a) cronograma de desembolso máximo por período, em conformidade com a disponibilidade de recursos financeiros;</w:t>
      </w:r>
    </w:p>
    <w:p>
      <w:pPr>
        <w:pStyle w:val="para37"/>
        <w:spacing w:before="0"/>
        <w:jc w:val="both"/>
        <w:tabs defTabSz="708"/>
        <w:rPr>
          <w:rFonts w:ascii="Times New Roman" w:hAnsi="Times New Roman"/>
          <w:color w:val="000000"/>
        </w:rPr>
      </w:pPr>
      <w:r>
        <w:rPr>
          <w:rFonts w:ascii="Times New Roman" w:hAnsi="Times New Roman"/>
          <w:color w:val="000000"/>
        </w:rPr>
        <w:t>b) critério de atualização financeira dos valores a serem pagos, desde a data a ser definida nos termos da alínea a deste inciso até a data do efetivo pagamento;</w:t>
      </w:r>
    </w:p>
    <w:p>
      <w:pPr>
        <w:pStyle w:val="para37"/>
        <w:spacing w:before="0"/>
        <w:jc w:val="both"/>
        <w:widowControl w:val="0"/>
        <w:tabs defTabSz="708"/>
        <w:rPr>
          <w:rFonts w:ascii="Times New Roman" w:hAnsi="Times New Roman" w:eastAsia="Times New Roman"/>
          <w:color w:val="000000"/>
        </w:rPr>
      </w:pPr>
      <w:r>
        <w:rPr>
          <w:rFonts w:ascii="Times New Roman" w:hAnsi="Times New Roman" w:eastAsia="Times New Roman"/>
          <w:color w:val="000000"/>
        </w:rPr>
        <w:t>3.2. Havendo necessidade de reajuste de preço, tanto de elevação como redução, seja proposto através de requerimento da contratada ao Prefeito Municipal, através da secretaria competente, ou por iniciativa da Administração, conforme o caso, com a indicação dos percentuais de alteração, acompanhado de cópias xerográficas autenticadas das notas fiscais de compra que permitam a comprovação e a verificação da compatibilidade dos custos com as alterações pleiteadas, desde que mantida a relação entre o preço da bomba e o da oferta verificado na adjudicação do Pregão Presencial.</w:t>
      </w:r>
    </w:p>
    <w:p>
      <w:pPr>
        <w:spacing w:before="0"/>
        <w:jc w:val="both"/>
        <w:tabs defTabSz="708"/>
        <w:rPr>
          <w:color w:val="000000"/>
          <w:sz w:val="22"/>
          <w:szCs w:val="22"/>
        </w:rPr>
      </w:pPr>
      <w:r>
        <w:rPr>
          <w:color w:val="000000"/>
          <w:sz w:val="22"/>
          <w:szCs w:val="22"/>
        </w:rPr>
        <w:t>3.3. As despesas decorrentes da presente licitação serão pagos com recursos consignados no orçamento municipal.</w:t>
      </w:r>
    </w:p>
    <w:p>
      <w:pPr>
        <w:spacing w:before="0"/>
        <w:jc w:val="both"/>
        <w:rPr>
          <w:b/>
          <w:color w:val="000000"/>
          <w:sz w:val="22"/>
          <w:szCs w:val="22"/>
        </w:rPr>
      </w:pPr>
      <w:r>
        <w:rPr>
          <w:b/>
          <w:color w:val="000000"/>
          <w:sz w:val="22"/>
          <w:szCs w:val="22"/>
        </w:rPr>
        <w:t>Fundo Municipal de Saúde</w:t>
      </w:r>
    </w:p>
    <w:p>
      <w:pPr>
        <w:spacing w:before="0"/>
        <w:jc w:val="both"/>
        <w:rPr>
          <w:b/>
          <w:color w:val="000000"/>
          <w:sz w:val="22"/>
          <w:szCs w:val="22"/>
        </w:rPr>
      </w:pPr>
      <w:r>
        <w:rPr>
          <w:b/>
          <w:color w:val="000000"/>
          <w:sz w:val="22"/>
          <w:szCs w:val="22"/>
        </w:rPr>
        <w:t>Fichas: 10 - 1211, 50 - 1212, 64 - 1212, 89 - 1212, 97 - 1212.</w:t>
      </w:r>
    </w:p>
    <w:p>
      <w:pPr>
        <w:spacing w:before="0"/>
        <w:jc w:val="both"/>
        <w:tabs defTabSz="708"/>
        <w:rPr>
          <w:color w:val="000000"/>
          <w:sz w:val="22"/>
          <w:szCs w:val="22"/>
        </w:rPr>
      </w:pPr>
      <w:r>
        <w:rPr>
          <w:color w:val="000000"/>
          <w:sz w:val="22"/>
          <w:szCs w:val="22"/>
        </w:rPr>
      </w:r>
    </w:p>
    <w:p>
      <w:pPr>
        <w:pStyle w:val="para37"/>
        <w:spacing w:before="0"/>
        <w:jc w:val="both"/>
        <w:tabs defTabSz="708"/>
        <w:rPr>
          <w:rFonts w:ascii="Times New Roman" w:hAnsi="Times New Roman"/>
          <w:b/>
          <w:color w:val="000000"/>
        </w:rPr>
      </w:pPr>
      <w:r>
        <w:rPr>
          <w:rFonts w:ascii="Times New Roman" w:hAnsi="Times New Roman"/>
          <w:b/>
          <w:color w:val="000000"/>
        </w:rPr>
        <w:t>CLÁUSULA QUARTA - OBRIGAÇÕES DA CONTRATADA</w:t>
      </w:r>
    </w:p>
    <w:p>
      <w:pPr>
        <w:pStyle w:val="para37"/>
        <w:spacing w:before="0"/>
        <w:jc w:val="both"/>
        <w:tabs defTabSz="708"/>
        <w:rPr>
          <w:rFonts w:ascii="Times New Roman" w:hAnsi="Times New Roman"/>
          <w:color w:val="000000"/>
        </w:rPr>
      </w:pPr>
      <w:r>
        <w:rPr>
          <w:rFonts w:ascii="Times New Roman" w:hAnsi="Times New Roman"/>
          <w:color w:val="000000"/>
        </w:rPr>
        <w:t>4.1. Além das obrigações que lhe são comuns e peculiares cabe exclusivamente à contratada:</w:t>
      </w:r>
    </w:p>
    <w:p>
      <w:pPr>
        <w:pStyle w:val="para37"/>
        <w:spacing w:before="0"/>
        <w:jc w:val="both"/>
        <w:tabs defTabSz="708"/>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tabs defTabSz="708"/>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tabs defTabSz="708"/>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tabs defTabSz="708"/>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pPr>
        <w:pStyle w:val="para37"/>
        <w:spacing w:before="0"/>
        <w:jc w:val="both"/>
        <w:tabs defTabSz="708"/>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b/>
          <w:color w:val="000000"/>
        </w:rPr>
      </w:pPr>
      <w:r>
        <w:rPr>
          <w:rFonts w:ascii="Times New Roman" w:hAnsi="Times New Roman"/>
          <w:b/>
          <w:color w:val="000000"/>
        </w:rPr>
        <w:t>CLÁUSULA QUINTA - OBRIGAÇÕES DO CONTRATANTE</w:t>
      </w:r>
    </w:p>
    <w:p>
      <w:pPr>
        <w:pStyle w:val="para37"/>
        <w:spacing w:before="0"/>
        <w:jc w:val="both"/>
        <w:tabs defTabSz="708"/>
        <w:rPr>
          <w:rFonts w:ascii="Times New Roman" w:hAnsi="Times New Roman"/>
          <w:color w:val="000000"/>
        </w:rPr>
      </w:pPr>
      <w:r>
        <w:rPr>
          <w:rFonts w:ascii="Times New Roman" w:hAnsi="Times New Roman"/>
          <w:color w:val="000000"/>
        </w:rPr>
        <w:t>5.1. Além das obrigações que lhe são comuns e peculiares cabe exclusivamente ao contratante:</w:t>
      </w:r>
    </w:p>
    <w:p>
      <w:pPr>
        <w:pStyle w:val="para37"/>
        <w:spacing w:before="0"/>
        <w:jc w:val="both"/>
        <w:tabs defTabSz="708"/>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tabs defTabSz="708"/>
        <w:rPr>
          <w:rFonts w:ascii="Times New Roman" w:hAnsi="Times New Roman"/>
          <w:color w:val="000000"/>
        </w:rPr>
      </w:pPr>
      <w:r>
        <w:rPr>
          <w:rFonts w:ascii="Times New Roman" w:hAnsi="Times New Roman"/>
          <w:color w:val="000000"/>
        </w:rPr>
        <w:t>b) acompanhar e verificar o andamento das entregas e a qualidade do produto a ser entregue;</w:t>
      </w:r>
    </w:p>
    <w:p>
      <w:pPr>
        <w:pStyle w:val="para37"/>
        <w:spacing w:before="0"/>
        <w:jc w:val="both"/>
        <w:tabs defTabSz="708"/>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b/>
          <w:color w:val="000000"/>
        </w:rPr>
      </w:pPr>
      <w:r>
        <w:rPr>
          <w:rFonts w:ascii="Times New Roman" w:hAnsi="Times New Roman"/>
          <w:b/>
          <w:color w:val="000000"/>
        </w:rPr>
        <w:t>CLÁUSULA SEXTA - RESCISÃO DO CONTRATO</w:t>
      </w:r>
    </w:p>
    <w:p>
      <w:pPr>
        <w:pStyle w:val="para37"/>
        <w:spacing w:before="0"/>
        <w:jc w:val="both"/>
        <w:tabs defTabSz="708"/>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pPr>
        <w:pStyle w:val="para37"/>
        <w:spacing w:before="0"/>
        <w:jc w:val="both"/>
        <w:tabs defTabSz="708"/>
        <w:rPr>
          <w:rFonts w:ascii="Times New Roman" w:hAnsi="Times New Roman"/>
          <w:color w:val="000000"/>
        </w:rPr>
      </w:pPr>
      <w:r>
        <w:rPr>
          <w:rFonts w:ascii="Times New Roman" w:hAnsi="Times New Roman"/>
          <w:color w:val="000000"/>
        </w:rPr>
        <w:t>6.2. O Contratante terá direito de rescindir o presente contrato independentemente de ação, notificação ou interpelação judicial, nas seguintes hipóteses:</w:t>
      </w:r>
    </w:p>
    <w:p>
      <w:pPr>
        <w:pStyle w:val="para37"/>
        <w:spacing w:before="0"/>
        <w:jc w:val="both"/>
        <w:tabs defTabSz="708"/>
        <w:rPr>
          <w:rFonts w:ascii="Times New Roman" w:hAnsi="Times New Roman"/>
          <w:color w:val="000000"/>
        </w:rPr>
      </w:pPr>
      <w:r>
        <w:rPr>
          <w:rFonts w:ascii="Times New Roman" w:hAnsi="Times New Roman"/>
          <w:color w:val="000000"/>
        </w:rPr>
        <w:t>a) No caso de ser cometida qualquer fraude pela CONTRATADA;</w:t>
      </w:r>
    </w:p>
    <w:p>
      <w:pPr>
        <w:pStyle w:val="para37"/>
        <w:spacing w:before="0"/>
        <w:jc w:val="both"/>
        <w:tabs defTabSz="708"/>
        <w:rPr>
          <w:rFonts w:ascii="Times New Roman" w:hAnsi="Times New Roman"/>
          <w:color w:val="000000"/>
        </w:rPr>
      </w:pPr>
      <w:r>
        <w:rPr>
          <w:rFonts w:ascii="Times New Roman" w:hAnsi="Times New Roman"/>
          <w:color w:val="000000"/>
        </w:rPr>
        <w:t>b)Quando pela reiteração de impugnações feitas pela fiscalização ou pelo CONTRATANTE, ficar evidenciada a má fé ou a incapacidade da CONTRATADA;</w:t>
      </w:r>
    </w:p>
    <w:p>
      <w:pPr>
        <w:pStyle w:val="para37"/>
        <w:spacing w:before="0"/>
        <w:jc w:val="both"/>
        <w:tabs defTabSz="708"/>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pPr>
        <w:pStyle w:val="para37"/>
        <w:spacing w:before="0"/>
        <w:jc w:val="both"/>
        <w:tabs defTabSz="708"/>
        <w:rPr>
          <w:rFonts w:ascii="Times New Roman" w:hAnsi="Times New Roman"/>
          <w:color w:val="000000"/>
        </w:rPr>
      </w:pPr>
      <w:r>
        <w:rPr>
          <w:rFonts w:ascii="Times New Roman" w:hAnsi="Times New Roman"/>
          <w:color w:val="000000"/>
        </w:rPr>
        <w:t>d) Se houver interrupção na distribuição, sem justo motivo devidamente comprovado, por mais de 02 (dois) dias consecutivos;</w:t>
      </w:r>
    </w:p>
    <w:p>
      <w:pPr>
        <w:pStyle w:val="para37"/>
        <w:spacing w:before="0"/>
        <w:jc w:val="both"/>
        <w:tabs defTabSz="708"/>
        <w:rPr>
          <w:rFonts w:ascii="Times New Roman" w:hAnsi="Times New Roman"/>
          <w:color w:val="000000"/>
        </w:rPr>
      </w:pPr>
      <w:r>
        <w:rPr>
          <w:rFonts w:ascii="Times New Roman" w:hAnsi="Times New Roman"/>
          <w:color w:val="000000"/>
        </w:rPr>
        <w:t>e) No interesse do serviço público, devidamente justificado;</w:t>
      </w:r>
    </w:p>
    <w:p>
      <w:pPr>
        <w:pStyle w:val="para37"/>
        <w:spacing w:before="0"/>
        <w:jc w:val="both"/>
        <w:tabs defTabSz="708"/>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pPr>
        <w:pStyle w:val="para37"/>
        <w:spacing w:before="0"/>
        <w:jc w:val="both"/>
        <w:tabs defTabSz="708"/>
        <w:rPr>
          <w:rFonts w:ascii="Times New Roman" w:hAnsi="Times New Roman"/>
          <w:color w:val="000000"/>
        </w:rPr>
      </w:pPr>
      <w:r>
        <w:rPr>
          <w:rFonts w:ascii="Times New Roman" w:hAnsi="Times New Roman"/>
          <w:color w:val="000000"/>
        </w:rPr>
      </w:r>
    </w:p>
    <w:p>
      <w:pPr>
        <w:spacing w:before="0"/>
        <w:jc w:val="both"/>
        <w:tabs defTabSz="708"/>
        <w:rPr>
          <w:b/>
          <w:color w:val="000000"/>
          <w:sz w:val="22"/>
          <w:szCs w:val="22"/>
        </w:rPr>
      </w:pPr>
      <w:r>
        <w:rPr>
          <w:b/>
          <w:color w:val="000000"/>
          <w:sz w:val="22"/>
          <w:szCs w:val="22"/>
        </w:rPr>
        <w:t>CLÁUSULA SÉTIMA - DOS ADITAMENTOS</w:t>
      </w:r>
    </w:p>
    <w:p>
      <w:pPr>
        <w:spacing w:before="0"/>
        <w:jc w:val="both"/>
        <w:tabs defTabSz="708"/>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tabs defTabSz="708"/>
        <w:rPr>
          <w:color w:val="000000"/>
          <w:sz w:val="22"/>
          <w:szCs w:val="22"/>
        </w:rPr>
      </w:pPr>
      <w:r>
        <w:rPr>
          <w:color w:val="000000"/>
          <w:sz w:val="22"/>
          <w:szCs w:val="22"/>
        </w:rPr>
      </w:r>
    </w:p>
    <w:p>
      <w:pPr>
        <w:pStyle w:val="para37"/>
        <w:spacing w:before="0"/>
        <w:jc w:val="both"/>
        <w:tabs defTabSz="708"/>
        <w:rPr>
          <w:rFonts w:ascii="Times New Roman" w:hAnsi="Times New Roman"/>
          <w:b/>
          <w:color w:val="000000"/>
        </w:rPr>
      </w:pPr>
      <w:r>
        <w:rPr>
          <w:rFonts w:ascii="Times New Roman" w:hAnsi="Times New Roman"/>
          <w:b/>
          <w:color w:val="000000"/>
        </w:rPr>
        <w:t>CLÁUSULA OITAVA – SANÇÕES ADMINISTRATIVAS</w:t>
      </w:r>
    </w:p>
    <w:p>
      <w:pPr>
        <w:spacing w:before="0"/>
        <w:jc w:val="both"/>
        <w:tabs defTabSz="708"/>
        <w:rPr>
          <w:sz w:val="22"/>
          <w:szCs w:val="22"/>
        </w:rPr>
      </w:pPr>
      <w:r>
        <w:rPr>
          <w:sz w:val="22"/>
          <w:szCs w:val="22"/>
        </w:rPr>
        <w:t>8.1. Em caso de atraso na execução/entrega do objeto contratado, multa de 0,3% (três centésimos por cento) por dia de atraso, até o limite de 20% (vinte por cento) sobre o valor total do contrato.</w:t>
      </w:r>
    </w:p>
    <w:p>
      <w:pPr>
        <w:spacing w:before="0"/>
        <w:jc w:val="both"/>
        <w:tabs defTabSz="708"/>
        <w:rPr>
          <w:sz w:val="22"/>
          <w:szCs w:val="22"/>
        </w:rPr>
      </w:pPr>
      <w:r>
        <w:rPr>
          <w:sz w:val="22"/>
          <w:szCs w:val="22"/>
        </w:rPr>
        <w:t>8.2.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tabs defTabSz="708"/>
        <w:rPr>
          <w:sz w:val="22"/>
          <w:szCs w:val="22"/>
        </w:rPr>
      </w:pPr>
      <w:r>
        <w:rPr>
          <w:sz w:val="22"/>
          <w:szCs w:val="22"/>
        </w:rPr>
        <w:t>8.3. A licitante/contratada sujeita-se ainda as seguinte penalidades:</w:t>
      </w:r>
    </w:p>
    <w:p>
      <w:pPr>
        <w:spacing w:before="0"/>
        <w:jc w:val="both"/>
        <w:tabs defTabSz="708"/>
        <w:rPr>
          <w:sz w:val="22"/>
          <w:szCs w:val="22"/>
        </w:rPr>
      </w:pPr>
      <w:r>
        <w:rPr>
          <w:sz w:val="22"/>
          <w:szCs w:val="22"/>
        </w:rPr>
        <w:t>a) Advertência;</w:t>
      </w:r>
    </w:p>
    <w:p>
      <w:pPr>
        <w:spacing w:before="0"/>
        <w:jc w:val="both"/>
        <w:tabs defTabSz="708"/>
        <w:rPr>
          <w:sz w:val="22"/>
          <w:szCs w:val="22"/>
        </w:rPr>
      </w:pPr>
      <w:r>
        <w:rPr>
          <w:sz w:val="22"/>
          <w:szCs w:val="22"/>
        </w:rPr>
        <w:t>b) Suspensão temporária de participar de licitações e impedimento de contratar com a administração municipal, por prazo de até 2 (dois) anos, e,</w:t>
      </w:r>
    </w:p>
    <w:p>
      <w:pPr>
        <w:spacing w:before="0"/>
        <w:jc w:val="both"/>
        <w:tabs defTabSz="708"/>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tabs defTabSz="708"/>
        <w:rPr>
          <w:sz w:val="22"/>
          <w:szCs w:val="22"/>
        </w:rPr>
      </w:pPr>
      <w:r>
        <w:rPr>
          <w:sz w:val="22"/>
          <w:szCs w:val="22"/>
        </w:rPr>
        <w:t>8.4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tabs defTabSz="708"/>
        <w:rPr>
          <w:sz w:val="22"/>
          <w:szCs w:val="22"/>
        </w:rPr>
      </w:pPr>
      <w:r>
        <w:rPr>
          <w:sz w:val="22"/>
          <w:szCs w:val="22"/>
        </w:rPr>
        <w:t>8.5 As penalidades previstas neste item têm caráter de sanção administrativa, consequentemente, a sua aplicação não exime a empresa vencedora da reparação das eventuais perdas e danos que seu ato punível venha acarretar à Prefeitura Municipal de São Domingos do Norte/ES.81.6 A falsidade de declaração prestada, em qualquer das declarações exigidas neste Edital, caracterizará o crime de que trata o art. 299 do código penal, além da sanção prevista no item 21.3.3 deste Edital.</w:t>
      </w:r>
    </w:p>
    <w:p>
      <w:pPr>
        <w:spacing w:before="0"/>
        <w:jc w:val="both"/>
        <w:tabs defTabSz="708"/>
        <w:rPr>
          <w:sz w:val="22"/>
          <w:szCs w:val="22"/>
        </w:rPr>
      </w:pPr>
      <w:r>
        <w:rPr>
          <w:sz w:val="22"/>
          <w:szCs w:val="22"/>
        </w:rPr>
        <w:t>8.6. A aplicação da multa de mora não impede que a Administração rescinda unilateralmente o contrato e aplique as outras sanções previstas no item 11.3 desta Ata e na Lei Federal nº. 8.666/93;</w:t>
      </w:r>
    </w:p>
    <w:p>
      <w:pPr>
        <w:spacing w:before="0"/>
        <w:jc w:val="both"/>
        <w:tabs defTabSz="708"/>
        <w:rPr>
          <w:sz w:val="22"/>
          <w:szCs w:val="22"/>
        </w:rPr>
      </w:pPr>
      <w:r>
        <w:rPr>
          <w:sz w:val="22"/>
          <w:szCs w:val="22"/>
        </w:rPr>
        <w:t>8.7 As sanções previstas nas alíneas “a”, “b” e “c” do item 11.3, não são cumulativas entre si, mas poderão ser aplicadas juntamente com a multa compensatória por perdas e danos.</w:t>
      </w:r>
    </w:p>
    <w:p>
      <w:pPr>
        <w:spacing w:before="0"/>
        <w:jc w:val="both"/>
        <w:tabs defTabSz="708"/>
        <w:rPr>
          <w:sz w:val="22"/>
          <w:szCs w:val="22"/>
        </w:rPr>
      </w:pPr>
      <w:r>
        <w:rPr>
          <w:sz w:val="22"/>
          <w:szCs w:val="22"/>
        </w:rPr>
        <w:t>8.8. As sanções administrativas somente serão aplicadas mediante regular processo administrativo, assegurada a ampla defesa e o contraditório, observando-se as seguintes regras:</w:t>
      </w:r>
    </w:p>
    <w:p>
      <w:pPr>
        <w:spacing w:before="0"/>
        <w:jc w:val="both"/>
        <w:tabs defTabSz="708"/>
        <w:rPr>
          <w:sz w:val="22"/>
          <w:szCs w:val="22"/>
        </w:rPr>
      </w:pPr>
      <w:r>
        <w:rPr>
          <w:sz w:val="22"/>
          <w:szCs w:val="22"/>
        </w:rPr>
        <w:t>8.8.1. Antes da aplicação de qualquer sanção administrativa, deverá notificar o licitante contratado, facultando-lhe a apresentação de defesa prévia;</w:t>
      </w:r>
    </w:p>
    <w:p>
      <w:pPr>
        <w:spacing w:before="0"/>
        <w:jc w:val="both"/>
        <w:tabs defTabSz="708"/>
        <w:rPr>
          <w:sz w:val="22"/>
          <w:szCs w:val="22"/>
        </w:rPr>
      </w:pPr>
      <w:r>
        <w:rPr>
          <w:sz w:val="22"/>
          <w:szCs w:val="22"/>
        </w:rPr>
        <w:t>8.8.2.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tabs defTabSz="708"/>
        <w:rPr>
          <w:sz w:val="22"/>
          <w:szCs w:val="22"/>
        </w:rPr>
      </w:pPr>
      <w:r>
        <w:rPr>
          <w:sz w:val="22"/>
          <w:szCs w:val="22"/>
        </w:rPr>
        <w:t>8.8.3.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tabs defTabSz="708"/>
        <w:rPr>
          <w:sz w:val="22"/>
          <w:szCs w:val="22"/>
        </w:rPr>
      </w:pPr>
      <w:r>
        <w:rPr>
          <w:sz w:val="22"/>
          <w:szCs w:val="22"/>
        </w:rPr>
        <w:t>8.8.4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tabs defTabSz="708"/>
        <w:rPr>
          <w:sz w:val="22"/>
          <w:szCs w:val="22"/>
        </w:rPr>
      </w:pPr>
      <w:r>
        <w:rPr>
          <w:sz w:val="22"/>
          <w:szCs w:val="22"/>
        </w:rPr>
        <w:t>8.8.5.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tabs defTabSz="708"/>
        <w:rPr>
          <w:sz w:val="22"/>
          <w:szCs w:val="22"/>
        </w:rPr>
      </w:pPr>
      <w:r>
        <w:rPr>
          <w:sz w:val="22"/>
          <w:szCs w:val="22"/>
        </w:rPr>
        <w:t>8.8.6. O recurso administrativo a que se refere a alínea anterior será submetido à análise da Procuradoria Geral do Município.</w:t>
      </w:r>
    </w:p>
    <w:p>
      <w:pPr>
        <w:spacing w:before="0"/>
        <w:jc w:val="both"/>
        <w:tabs defTabSz="708"/>
        <w:rPr>
          <w:sz w:val="22"/>
          <w:szCs w:val="22"/>
        </w:rPr>
      </w:pPr>
      <w:r>
        <w:rPr>
          <w:sz w:val="22"/>
          <w:szCs w:val="22"/>
        </w:rPr>
        <w:t>8.8.7.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8"/>
        <w:rPr>
          <w:sz w:val="22"/>
          <w:szCs w:val="22"/>
        </w:rPr>
      </w:pPr>
      <w:r>
        <w:rPr>
          <w:sz w:val="22"/>
          <w:szCs w:val="22"/>
        </w:rPr>
        <w:t>8.8.8. Em qualquer caso, se após o desconto dos valores relativos às multas restar valor residual em desfavor do licitante contratado, é obrigatória a cobrança judicial da diferença.</w:t>
      </w:r>
    </w:p>
    <w:p>
      <w:pPr>
        <w:spacing w:before="0"/>
        <w:jc w:val="both"/>
        <w:tabs defTabSz="708"/>
        <w:rPr>
          <w:sz w:val="22"/>
          <w:szCs w:val="22"/>
        </w:rPr>
      </w:pPr>
      <w:r>
        <w:rPr>
          <w:sz w:val="22"/>
          <w:szCs w:val="22"/>
        </w:rPr>
      </w:r>
    </w:p>
    <w:p>
      <w:pPr>
        <w:spacing w:before="0"/>
        <w:jc w:val="both"/>
        <w:tabs defTabSz="708"/>
        <w:rPr>
          <w:b/>
          <w:color w:val="000000"/>
          <w:sz w:val="22"/>
          <w:szCs w:val="22"/>
        </w:rPr>
      </w:pPr>
      <w:r>
        <w:rPr>
          <w:b/>
          <w:color w:val="000000"/>
          <w:sz w:val="22"/>
          <w:szCs w:val="22"/>
        </w:rPr>
        <w:t>CLÁUSULA NONA - DO ACOMPANHAMENTO E DA FISCALIZAÇÃO</w:t>
      </w:r>
    </w:p>
    <w:p>
      <w:pPr>
        <w:spacing w:before="0"/>
        <w:jc w:val="both"/>
        <w:tabs defTabSz="708"/>
        <w:rPr>
          <w:color w:val="000000"/>
          <w:sz w:val="22"/>
          <w:szCs w:val="22"/>
        </w:rPr>
      </w:pPr>
      <w:r>
        <w:rPr>
          <w:color w:val="000000"/>
          <w:sz w:val="22"/>
          <w:szCs w:val="22"/>
        </w:rPr>
        <w:t xml:space="preserve">9.1. A execução do contrato será acompanhada pela </w:t>
      </w:r>
      <w:r>
        <w:rPr>
          <w:b/>
          <w:color w:val="000000"/>
          <w:sz w:val="22"/>
          <w:szCs w:val="22"/>
        </w:rPr>
        <w:t>servidor Marcos Paulo Schifler,</w:t>
      </w:r>
      <w:r>
        <w:rPr>
          <w:color w:val="000000"/>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pPr>
        <w:spacing w:before="0"/>
        <w:jc w:val="both"/>
        <w:tabs defTabSz="708"/>
        <w:rPr>
          <w:color w:val="000000"/>
          <w:sz w:val="22"/>
          <w:szCs w:val="22"/>
        </w:rPr>
      </w:pPr>
      <w:r>
        <w:rPr>
          <w:color w:val="000000"/>
          <w:sz w:val="22"/>
          <w:szCs w:val="22"/>
        </w:rPr>
      </w:r>
    </w:p>
    <w:p>
      <w:pPr>
        <w:pStyle w:val="para37"/>
        <w:spacing w:before="0"/>
        <w:jc w:val="both"/>
        <w:tabs defTabSz="708"/>
        <w:rPr>
          <w:rFonts w:ascii="Times New Roman" w:hAnsi="Times New Roman"/>
          <w:b/>
          <w:color w:val="000000"/>
        </w:rPr>
      </w:pPr>
      <w:r>
        <w:rPr>
          <w:rFonts w:ascii="Times New Roman" w:hAnsi="Times New Roman"/>
          <w:b/>
          <w:color w:val="000000"/>
        </w:rPr>
        <w:t>CLAUSULA DÉCIMA – DISPOSIÇÕES FINAIS</w:t>
      </w:r>
    </w:p>
    <w:p>
      <w:pPr>
        <w:pStyle w:val="para37"/>
        <w:spacing w:before="0"/>
        <w:jc w:val="both"/>
        <w:tabs defTabSz="708"/>
        <w:rPr>
          <w:rFonts w:ascii="Times New Roman" w:hAnsi="Times New Roman"/>
          <w:color w:val="000000"/>
        </w:rPr>
      </w:pPr>
      <w:r>
        <w:rPr>
          <w:rFonts w:ascii="Times New Roman" w:hAnsi="Times New Roman"/>
          <w:color w:val="000000"/>
        </w:rPr>
        <w:t>10.1. O presente instrumento contratual vincula-se aos termos do edital Pregão Presencial nº 15/2014 e seus anexos bem como a proposta ofertada (ART. 55, XI – LEI 8.666/93).</w:t>
      </w:r>
    </w:p>
    <w:p>
      <w:pPr>
        <w:pStyle w:val="para37"/>
        <w:spacing w:before="0"/>
        <w:jc w:val="both"/>
        <w:tabs defTabSz="708"/>
        <w:rPr>
          <w:rFonts w:ascii="Times New Roman" w:hAnsi="Times New Roman"/>
          <w:color w:val="000000"/>
        </w:rPr>
      </w:pPr>
      <w:r>
        <w:rPr>
          <w:rFonts w:ascii="Times New Roman" w:hAnsi="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tabs defTabSz="708"/>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tabs defTabSz="708"/>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tabs defTabSz="708"/>
        <w:rPr>
          <w:rFonts w:ascii="Times New Roman" w:hAnsi="Times New Roman"/>
          <w:color w:val="000000"/>
        </w:rPr>
      </w:pPr>
      <w:r>
        <w:rPr>
          <w:rFonts w:ascii="Times New Roman" w:hAnsi="Times New Roman"/>
          <w:color w:val="000000"/>
        </w:rPr>
        <w:t>São Domingos do Norte, em ........ de ................ de  2020.</w:t>
      </w:r>
    </w:p>
    <w:p>
      <w:pPr>
        <w:pStyle w:val="para37"/>
        <w:spacing w:before="0"/>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 xml:space="preserve">Pedro Amarildo </w:t>
      </w:r>
      <w:r>
        <w:rPr>
          <w:rFonts w:ascii="Times New Roman" w:hAnsi="Times New Roman"/>
          <w:b/>
          <w:color w:val="000000"/>
        </w:rPr>
        <w:t>Dalmonte</w:t>
      </w:r>
      <w:r>
        <w:rPr>
          <w:rFonts w:ascii="Times New Roman" w:hAnsi="Times New Roman"/>
          <w:b/>
          <w:color w:val="000000"/>
        </w:rPr>
        <w:t xml:space="preserve">                                                                       CONTRATADA</w:t>
      </w:r>
      <w:r>
        <w:rPr>
          <w:rFonts w:ascii="Times New Roman" w:hAnsi="Times New Roman"/>
          <w:b/>
          <w:color w:val="000000"/>
        </w:rPr>
      </w:r>
    </w:p>
    <w:p>
      <w:pPr>
        <w:pStyle w:val="para37"/>
        <w:spacing w:before="0"/>
        <w:jc w:val="both"/>
        <w:tabs defTabSz="708"/>
        <w:rPr>
          <w:rFonts w:ascii="Times New Roman" w:hAnsi="Times New Roman"/>
          <w:b/>
          <w:color w:val="000000"/>
        </w:rPr>
      </w:pPr>
      <w:r>
        <w:rPr>
          <w:rFonts w:ascii="Times New Roman" w:hAnsi="Times New Roman"/>
          <w:b/>
          <w:color w:val="000000"/>
        </w:rPr>
        <w:t xml:space="preserve">      Prefeito Municipal</w:t>
      </w:r>
    </w:p>
    <w:p>
      <w:pPr>
        <w:pStyle w:val="para37"/>
        <w:spacing w:before="0"/>
        <w:jc w:val="both"/>
        <w:tabs defTabSz="708"/>
        <w:rPr>
          <w:rFonts w:ascii="Times New Roman" w:hAnsi="Times New Roman"/>
          <w:b/>
          <w:color w:val="000000"/>
        </w:rPr>
      </w:pPr>
      <w:r>
        <w:rPr>
          <w:rFonts w:ascii="Times New Roman" w:hAnsi="Times New Roman"/>
          <w:b/>
          <w:color w:val="000000"/>
        </w:rPr>
        <w:t xml:space="preserve">        CONTRATANTE</w:t>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color w:val="000000"/>
        </w:rPr>
      </w:pPr>
      <w:r>
        <w:rPr>
          <w:rFonts w:ascii="Times New Roman" w:hAnsi="Times New Roman"/>
          <w:color w:val="000000"/>
        </w:rPr>
        <w:t>Testemunhas:</w:t>
      </w:r>
    </w:p>
    <w:p>
      <w:pPr>
        <w:pStyle w:val="para37"/>
        <w:spacing w:before="0"/>
        <w:jc w:val="both"/>
        <w:tabs defTabSz="708"/>
        <w:rPr>
          <w:rFonts w:ascii="Times New Roman" w:hAnsi="Times New Roman"/>
          <w:color w:val="000000"/>
        </w:rPr>
      </w:pPr>
      <w:r>
        <w:rPr>
          <w:rFonts w:ascii="Times New Roman" w:hAnsi="Times New Roman"/>
          <w:color w:val="000000"/>
        </w:rPr>
      </w:r>
    </w:p>
    <w:p>
      <w:pPr>
        <w:pStyle w:val="para37"/>
        <w:spacing w:before="0"/>
        <w:jc w:val="both"/>
        <w:tabs defTabSz="708"/>
        <w:rPr>
          <w:rFonts w:ascii="Times New Roman" w:hAnsi="Times New Roman"/>
          <w:color w:val="000000"/>
        </w:rPr>
      </w:pPr>
      <w:r>
        <w:rPr>
          <w:rFonts w:ascii="Times New Roman" w:hAnsi="Times New Roman"/>
          <w:color w:val="000000"/>
        </w:rPr>
        <w:t>a)_____________________________                                                    b)____________________________</w:t>
      </w:r>
    </w:p>
    <w:p>
      <w:pPr>
        <w:spacing/>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XI</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04/2020 - FMS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02/2020 - SRP,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r>
    </w:p>
    <w:p>
      <w:pPr>
        <w:rPr>
          <w:sz w:val="22"/>
          <w:szCs w:val="22"/>
        </w:rPr>
      </w:pPr>
      <w:r>
        <w:rPr>
          <w:sz w:val="22"/>
          <w:szCs w:val="22"/>
        </w:rPr>
        <w:tab/>
        <w:tab/>
        <w:t>(Nome completo por extenso do responsável pela Pessoa Jurídica)</w:t>
      </w:r>
    </w:p>
    <w:p>
      <w:pPr>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b/>
          <w:sz w:val="22"/>
          <w:szCs w:val="22"/>
        </w:rPr>
      </w:pPr>
      <w:r>
        <w:rPr>
          <w:b/>
          <w:sz w:val="22"/>
          <w:szCs w:val="22"/>
        </w:rPr>
        <w:t>* Apresentar na habilitação</w:t>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color w:val="000000"/>
        </w:rPr>
      </w:pPr>
      <w:r>
        <w:rPr>
          <w:rFonts w:ascii="Times New Roman" w:hAnsi="Times New Roman"/>
          <w:color w:val="000000"/>
        </w:rPr>
      </w:r>
    </w:p>
    <w:p>
      <w:pPr>
        <w:rPr>
          <w:b/>
          <w:sz w:val="22"/>
          <w:szCs w:val="22"/>
        </w:rPr>
      </w:pPr>
      <w:r>
        <w:rPr>
          <w:b/>
          <w:sz w:val="22"/>
          <w:szCs w:val="22"/>
        </w:rPr>
      </w:r>
    </w:p>
    <w:p>
      <w:pPr>
        <w:rPr>
          <w:b/>
          <w:sz w:val="22"/>
          <w:szCs w:val="22"/>
        </w:rPr>
      </w:pPr>
      <w:r>
        <w:rPr>
          <w:b/>
          <w:sz w:val="22"/>
          <w:szCs w:val="22"/>
        </w:rPr>
        <w:t>ANEXO XII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04/2020 - FMS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sz w:val="22"/>
          <w:szCs w:val="22"/>
        </w:rPr>
      </w:pPr>
      <w:r>
        <w:rPr>
          <w:b/>
          <w:sz w:val="22"/>
          <w:szCs w:val="22"/>
        </w:rPr>
        <w:t>* Apresentar no credenciamento para as empresas que forem ME e EPP’s</w:t>
      </w:r>
      <w:r>
        <w:rPr>
          <w:sz w:val="22"/>
          <w:szCs w:val="22"/>
        </w:rPr>
        <w:t>.</w:t>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¹Å">
    <w:panose1 w:val="02020603050405020304"/>
    <w:charset w:val="00"/>
    <w:family w:val="roman"/>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U2YX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U2YX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U2YX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rPr>
    </w:pPr>
    <w:r>
      <w:t>Prefeitura Municipal de São Domingos do Norte</w:t>
    </w:r>
    <w:r>
      <w:rPr>
        <w:rFonts w:ascii="Algerian" w:hAnsi="Algerian"/>
      </w:rPr>
    </w:r>
  </w:p>
  <w:p>
    <w:pPr>
      <w:spacing w:before="0"/>
      <w:rPr>
        <w:color w:val="000000"/>
        <w:sz w:val="22"/>
      </w:rPr>
    </w:pPr>
    <w:r>
      <w:rPr>
        <w:color w:val="000000"/>
      </w:rPr>
      <w:t>Rod. Gether Lopes de Farias, s/nº - Bairro Emílio Calegari - São Domingos do Norte/ES - CEP 29745-000</w:t>
    </w:r>
    <w:r>
      <w:rPr>
        <w:color w:val="000000"/>
        <w:sz w:val="22"/>
      </w:rPr>
    </w:r>
  </w:p>
  <w:p>
    <w:pPr>
      <w:spacing w:before="0"/>
      <w:rPr>
        <w:color w:val="000000"/>
      </w:rPr>
    </w:pPr>
    <w:r>
      <w:rPr>
        <w:color w:val="000000"/>
      </w:rPr>
      <w:t>Telefone/Telefax: (027) 3742 0200   -   CNPJ 36.350.312/0001-72</w:t>
    </w:r>
  </w:p>
  <w:p>
    <w:pPr>
      <w:spacing w:before="0"/>
      <w:rPr>
        <w:color w:val="000000"/>
      </w:rPr>
    </w:pPr>
    <w:r>
      <w:rPr>
        <w:color w:val="000000"/>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5">
    <w:multiLevelType w:val="hybridMultilevel"/>
    <w:name w:val="Lista numerada 5"/>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7">
    <w:multiLevelType w:val="hybridMultilevel"/>
    <w:name w:val="Lista numerada 7"/>
    <w:lvl w:ilvl="0">
      <w:start w:val="1"/>
      <w:numFmt w:val="decimal"/>
      <w:suff w:val="tab"/>
      <w:lvlText w:val="%1."/>
      <w:lvlJc w:val="left"/>
      <w:pPr>
        <w:ind w:left="0" w:hanging="0"/>
      </w:pPr>
      <w:rPr>
        <w:b/>
      </w:rPr>
    </w:lvl>
    <w:lvl w:ilvl="1">
      <w:start w:val="1"/>
      <w:numFmt w:val="decimal"/>
      <w:suff w:val="tab"/>
      <w:lvlText w:val="%1.%2."/>
      <w:lvlJc w:val="left"/>
      <w:pPr>
        <w:ind w:left="0" w:hanging="0"/>
      </w:pPr>
      <w:rPr>
        <w:b/>
      </w:rPr>
    </w:lvl>
    <w:lvl w:ilvl="2">
      <w:start w:val="1"/>
      <w:numFmt w:val="decimal"/>
      <w:suff w:val="tab"/>
      <w:lvlText w:val="%1.%2.%3."/>
      <w:lvlJc w:val="left"/>
      <w:pPr>
        <w:ind w:left="0" w:hanging="0"/>
      </w:pPr>
      <w:rPr>
        <w:b/>
      </w:rPr>
    </w:lvl>
    <w:lvl w:ilvl="3">
      <w:start w:val="1"/>
      <w:numFmt w:val="decimal"/>
      <w:suff w:val="tab"/>
      <w:lvlText w:val="%1.%2.%3.%4."/>
      <w:lvlJc w:val="left"/>
      <w:pPr>
        <w:ind w:left="0" w:hanging="0"/>
      </w:pPr>
      <w:rPr>
        <w:b/>
      </w:rPr>
    </w:lvl>
    <w:lvl w:ilvl="4">
      <w:start w:val="1"/>
      <w:numFmt w:val="decimal"/>
      <w:suff w:val="tab"/>
      <w:lvlText w:val="%1.%2.%3.%4.%5."/>
      <w:lvlJc w:val="left"/>
      <w:pPr>
        <w:ind w:left="0" w:hanging="0"/>
      </w:pPr>
      <w:rPr>
        <w:b/>
      </w:rPr>
    </w:lvl>
    <w:lvl w:ilvl="5">
      <w:start w:val="1"/>
      <w:numFmt w:val="decimal"/>
      <w:suff w:val="tab"/>
      <w:lvlText w:val="%1.%2.%3.%4.%5.%6."/>
      <w:lvlJc w:val="left"/>
      <w:pPr>
        <w:ind w:left="0" w:hanging="0"/>
      </w:pPr>
      <w:rPr>
        <w:b/>
      </w:rPr>
    </w:lvl>
    <w:lvl w:ilvl="6">
      <w:start w:val="1"/>
      <w:numFmt w:val="decimal"/>
      <w:suff w:val="tab"/>
      <w:lvlText w:val="%1.%2.%3.%4.%5.%6.%7."/>
      <w:lvlJc w:val="left"/>
      <w:pPr>
        <w:ind w:left="0" w:hanging="0"/>
      </w:pPr>
      <w:rPr>
        <w:b/>
      </w:rPr>
    </w:lvl>
    <w:lvl w:ilvl="7">
      <w:start w:val="1"/>
      <w:numFmt w:val="decimal"/>
      <w:suff w:val="tab"/>
      <w:lvlText w:val="%1.%2.%3.%4.%5.%6.%7.%8."/>
      <w:lvlJc w:val="left"/>
      <w:pPr>
        <w:ind w:left="0" w:hanging="0"/>
      </w:pPr>
      <w:rPr>
        <w:b/>
      </w:rPr>
    </w:lvl>
    <w:lvl w:ilvl="8">
      <w:start w:val="1"/>
      <w:numFmt w:val="decimal"/>
      <w:suff w:val="tab"/>
      <w:lvlText w:val="%1.%2.%3.%4.%5.%6.%7.%8.%9."/>
      <w:lvlJc w:val="left"/>
      <w:pPr>
        <w:ind w:left="0" w:hanging="0"/>
      </w:pPr>
      <w:rPr>
        <w:b/>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3">
    <w:multiLevelType w:val="hybridMultilevel"/>
    <w:name w:val="Lista numerada 13"/>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4">
    <w:multiLevelType w:val="hybridMultilevel"/>
    <w:name w:val="Lista numerada 14"/>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5">
    <w:multiLevelType w:val="hybridMultilevel"/>
    <w:name w:val="Lista numerada 15"/>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6">
    <w:multiLevelType w:val="hybridMultilevel"/>
    <w:name w:val="Lista numerada 16"/>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7">
    <w:multiLevelType w:val="hybridMultilevel"/>
    <w:name w:val="Lista numerada 17"/>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18">
    <w:multiLevelType w:val="hybridMultilevel"/>
    <w:name w:val="Lista numerada 18"/>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9">
    <w:multiLevelType w:val="hybridMultilevel"/>
    <w:name w:val="Lista numerada 19"/>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1">
    <w:multiLevelType w:val="hybridMultilevel"/>
    <w:name w:val="Lista numerada 21"/>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2">
    <w:multiLevelType w:val="hybridMultilevel"/>
    <w:name w:val="Lista numerada 22"/>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3">
    <w:multiLevelType w:val="hybridMultilevel"/>
    <w:name w:val="Lista numerada 23"/>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4">
    <w:multiLevelType w:val="hybridMultilevel"/>
    <w:name w:val="Lista numerada 24"/>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5">
    <w:multiLevelType w:val="hybridMultilevel"/>
    <w:name w:val="Lista numerada 25"/>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6">
    <w:multiLevelType w:val="hybridMultilevel"/>
    <w:name w:val="Lista numerada 26"/>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56"/>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11"/>
      <w:tmLastPosIdx w:val="0"/>
    </w:tmLastPosCaret>
    <w:tmLastPosAnchor>
      <w:tmLastPosPgfIdx w:val="0"/>
      <w:tmLastPosIdx w:val="0"/>
    </w:tmLastPosAnchor>
    <w:tmLastPosTblRect w:left="0" w:top="0" w:right="0" w:bottom="0"/>
  </w:tmLastPos>
  <w:tmAppRevision w:date="1578591827"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1"/>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2"/>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1"/>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2"/>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56</cp:revision>
  <cp:lastPrinted>2020-01-09T17:44:35Z</cp:lastPrinted>
  <dcterms:created xsi:type="dcterms:W3CDTF">2017-02-09T09:22:00Z</dcterms:created>
  <dcterms:modified xsi:type="dcterms:W3CDTF">2020-01-09T17:43:47Z</dcterms:modified>
</cp:coreProperties>
</file>