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/>
        <w:jc w:val="center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b/>
        </w:rPr>
      </w:pPr>
      <w:r>
        <w:rPr>
          <w:rFonts w:ascii="Calibri" w:hAnsi="Calibri" w:eastAsia="Calibri"/>
          <w:b/>
        </w:rPr>
      </w:r>
    </w:p>
    <w:p>
      <w:pPr>
        <w:spacing/>
        <w:jc w:val="center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b/>
          <w:sz w:val="22"/>
          <w:szCs w:val="22"/>
          <w:u w:color="auto" w:val="single"/>
        </w:rPr>
      </w:pPr>
      <w:r>
        <w:rPr>
          <w:rFonts w:ascii="Calibri" w:hAnsi="Calibri" w:eastAsia="Calibri"/>
          <w:b/>
          <w:sz w:val="22"/>
          <w:szCs w:val="22"/>
          <w:u w:color="auto" w:val="single"/>
        </w:rPr>
        <w:t xml:space="preserve">TERMO DE REFERÊNCIA 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b/>
          <w:sz w:val="22"/>
          <w:szCs w:val="22"/>
        </w:rPr>
      </w:pPr>
      <w:r>
        <w:rPr>
          <w:rFonts w:ascii="Calibri" w:hAnsi="Calibri" w:eastAsia="Calibri"/>
          <w:b/>
          <w:sz w:val="22"/>
          <w:szCs w:val="22"/>
        </w:rPr>
        <w:t xml:space="preserve">1. OBJETO: 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1.1-Aquisição de pneus novos, de primeira linha, com certificação do INMETRO, conforme especificações, quantitativos e demais condições constantes neste Termo de Referência.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b/>
          <w:sz w:val="22"/>
          <w:szCs w:val="22"/>
        </w:rPr>
      </w:pPr>
      <w:r>
        <w:rPr>
          <w:rFonts w:ascii="Calibri" w:hAnsi="Calibri" w:eastAsia="Calibri"/>
          <w:b/>
          <w:sz w:val="22"/>
          <w:szCs w:val="22"/>
        </w:rPr>
        <w:t>2. JUSTIFICATIVA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2.1 A presente proposição para aquisição de pneus justifica-se na medida em que se observa o desgaste dos pneus de veículos de uso da Secretaria Municipal de Saúde por conta do uso prolongado, culminando com a sua incapacidade para o uso e, conseqüentemente, inviabilizando a utilização dos veículos nas atividades de deslocamento de servidores no decorrer de suas atividades laborais e também no transporte de pacientes, além de tornar mais seguro o transporte de todos.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b/>
          <w:sz w:val="22"/>
          <w:szCs w:val="22"/>
        </w:rPr>
      </w:pPr>
      <w:r>
        <w:rPr>
          <w:rFonts w:ascii="Calibri" w:hAnsi="Calibri" w:eastAsia="Calibri"/>
          <w:b/>
          <w:sz w:val="22"/>
          <w:szCs w:val="22"/>
        </w:rPr>
        <w:t>3. DA DOTAÇÃO ORÇAMENTÁRIA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16"/>
          <w:szCs w:val="16"/>
        </w:rPr>
      </w:pPr>
      <w:r>
        <w:rPr>
          <w:rFonts w:ascii="Calibri" w:hAnsi="Calibri" w:eastAsia="Calibri"/>
          <w:sz w:val="22"/>
          <w:szCs w:val="22"/>
        </w:rPr>
        <w:t xml:space="preserve">3.1 - As despesas com o pagamento do referido objeto correrão por conta da Fonte de Recursos do SUS e recursos próprios. </w:t>
      </w:r>
      <w:r>
        <w:rPr>
          <w:rFonts w:ascii="Calibri" w:hAnsi="Calibri" w:eastAsia="Calibri"/>
          <w:sz w:val="16"/>
          <w:szCs w:val="16"/>
        </w:rPr>
      </w:r>
    </w:p>
    <w:tbl>
      <w:tblPr>
        <w:tblStyle w:val="TableNormal"/>
        <w:name w:val="Tabela2"/>
        <w:tabOrder w:val="0"/>
        <w:jc w:val="left"/>
        <w:tblInd w:w="0" w:type="dxa"/>
        <w:tblW w:w="7685" w:type="dxa"/>
        <w:tblLook w:val="0600" w:firstRow="0" w:lastRow="0" w:firstColumn="0" w:lastColumn="0" w:noHBand="1" w:noVBand="1"/>
      </w:tblPr>
      <w:tblGrid>
        <w:gridCol w:w="7685"/>
      </w:tblGrid>
      <w:tr>
        <w:trPr>
          <w:tblHeader w:val="0"/>
          <w:cantSplit w:val="0"/>
          <w:trHeight w:val="0" w:hRule="auto"/>
        </w:trPr>
        <w:tc>
          <w:tcPr>
            <w:tcW w:w="76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 w:line="360" w:lineRule="auto"/>
              <w:jc w:val="center"/>
              <w:widowControl/>
              <w:tabs defTabSz="708">
                <w:tab w:val="center" w:pos="4252" w:leader="none"/>
                <w:tab w:val="right" w:pos="8504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Calibri" w:cs="Arial"/>
                <w:b/>
                <w:bCs/>
                <w:color w:val="000000"/>
              </w:rPr>
            </w:pPr>
            <w:r>
              <w:rPr>
                <w:rFonts w:ascii="Calibri" w:hAnsi="Calibri" w:eastAsia="Calibri" w:cs="Arial"/>
                <w:b/>
                <w:bCs/>
                <w:color w:val="000000"/>
              </w:rPr>
              <w:t>DOTAÇÕES ORÇAMENTÁRIAS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76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 w:line="360" w:lineRule="auto"/>
              <w:jc w:val="both"/>
              <w:widowControl/>
              <w:tabs defTabSz="708">
                <w:tab w:val="center" w:pos="4252" w:leader="none"/>
                <w:tab w:val="right" w:pos="8504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Calibri" w:cs="Arial"/>
                <w:bCs/>
                <w:color w:val="000000"/>
              </w:rPr>
            </w:pPr>
            <w:r>
              <w:rPr>
                <w:rFonts w:ascii="Calibri" w:hAnsi="Calibri" w:eastAsia="Calibri" w:cs="Arial"/>
                <w:bCs/>
                <w:color w:val="000000"/>
              </w:rPr>
              <w:t>008010.1030100152.069 – MANUTENÇÃO DAS ATIVIDADES AMBULATORIAIS E LABORATÓRIAIS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76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 w:line="360" w:lineRule="auto"/>
              <w:jc w:val="both"/>
              <w:widowControl/>
              <w:tabs defTabSz="708">
                <w:tab w:val="center" w:pos="4252" w:leader="none"/>
                <w:tab w:val="right" w:pos="8504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Calibri" w:cs="Arial"/>
                <w:bCs/>
                <w:color w:val="000000"/>
              </w:rPr>
            </w:pPr>
            <w:r>
              <w:rPr>
                <w:rFonts w:ascii="Calibri" w:hAnsi="Calibri" w:eastAsia="Calibri" w:cs="Arial"/>
                <w:bCs/>
                <w:color w:val="000000"/>
              </w:rPr>
              <w:t>008010.1012200012.062 – MANUTENÇÃO DAS ATIVIDADES ADMINISTRATIVAS DO F.M.S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76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 w:line="360" w:lineRule="auto"/>
              <w:jc w:val="both"/>
              <w:widowControl/>
              <w:tabs defTabSz="708">
                <w:tab w:val="center" w:pos="4252" w:leader="none"/>
                <w:tab w:val="right" w:pos="8504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Calibri" w:cs="Arial"/>
                <w:bCs/>
                <w:color w:val="000000"/>
              </w:rPr>
            </w:pPr>
            <w:r>
              <w:rPr>
                <w:rFonts w:ascii="Calibri" w:hAnsi="Calibri" w:eastAsia="Calibri" w:cs="Arial"/>
                <w:bCs/>
                <w:color w:val="000000"/>
              </w:rPr>
              <w:t>008010.1030100152.072 – MANUTENÇÃO DO PROGRAMA DE SAÚDE DA FAMÍLIA</w:t>
            </w:r>
          </w:p>
        </w:tc>
      </w:tr>
      <w:tr>
        <w:trPr>
          <w:tblHeader w:val="0"/>
          <w:cantSplit w:val="0"/>
          <w:trHeight w:val="559" w:hRule="atLeast"/>
        </w:trPr>
        <w:tc>
          <w:tcPr>
            <w:tcW w:w="76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both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Calibri"/>
              </w:rPr>
            </w:pPr>
            <w:r>
              <w:rPr>
                <w:rFonts w:ascii="Calibri" w:hAnsi="Calibri" w:eastAsia="Calibri"/>
              </w:rPr>
              <w:t>008010.1030500172.078 - MANUTENÇÃO DAS ATIVIDADES DE PREVENÇÃO E CONTROLE DE DOENÇAS –ECD</w:t>
            </w:r>
          </w:p>
          <w:p>
            <w:pPr>
              <w:spacing w:line="360" w:lineRule="auto"/>
              <w:jc w:val="both"/>
              <w:widowControl/>
              <w:tabs defTabSz="708">
                <w:tab w:val="center" w:pos="4252" w:leader="none"/>
                <w:tab w:val="right" w:pos="8504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Calibri" w:cs="Arial"/>
                <w:bCs/>
                <w:color w:val="000000"/>
              </w:rPr>
            </w:pPr>
            <w:r>
              <w:rPr>
                <w:rFonts w:ascii="Calibri" w:hAnsi="Calibri" w:eastAsia="Calibri" w:cs="Arial"/>
                <w:bCs/>
                <w:color w:val="000000"/>
              </w:rPr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76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both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Calibri"/>
              </w:rPr>
            </w:pPr>
            <w:r>
              <w:rPr>
                <w:rFonts w:ascii="Calibri" w:hAnsi="Calibri" w:eastAsia="Calibri"/>
              </w:rPr>
              <w:t>008010.1030400172.077 - MANUTENÇÃO DAS ATIVIDADES DA VIGILÂNCIA SANITÁRIA</w:t>
            </w:r>
          </w:p>
        </w:tc>
      </w:tr>
    </w:tbl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b/>
          <w:sz w:val="22"/>
          <w:szCs w:val="22"/>
        </w:rPr>
      </w:pPr>
      <w:r>
        <w:rPr>
          <w:rFonts w:ascii="Calibri" w:hAnsi="Calibri" w:eastAsia="Calibri"/>
          <w:b/>
          <w:sz w:val="22"/>
          <w:szCs w:val="22"/>
        </w:rPr>
        <w:t>4. DA FORMA DE FORNECIMENTO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4.1 - O fornecimento será conforme solicitado pela Secretária Municipal de Saúde.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b/>
          <w:sz w:val="22"/>
          <w:szCs w:val="22"/>
        </w:rPr>
      </w:pPr>
      <w:r>
        <w:rPr>
          <w:rFonts w:ascii="Calibri" w:hAnsi="Calibri" w:eastAsia="Calibri"/>
          <w:b/>
          <w:sz w:val="22"/>
          <w:szCs w:val="22"/>
        </w:rPr>
        <w:t>5. OBRIGAÇÕES CONTRATUAIS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5.1 - Obrigações da Contratante: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 xml:space="preserve">5.1.1 - Na execução do objeto do contrato, obriga-se a CONTRATANTE a: 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a) Efetuar o pagamento nas condições e preços pactuados;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b) Tomar as medidas necessárias quanto ao fiel recebimento do produto;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c) Atestar a (s) nota(s) fiscal(is) correspondente(s), após o aceite dos produtos fornecidos;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 xml:space="preserve">d) Prestar informações e esclarecimentos que venham ser solicitados pela CONTRATADA; 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 xml:space="preserve">e) Notificar, por escrito, à CONTRATADA quaisquer irregularidades encontradas no fornecimento dos produtos; 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f) Participar ativamente das sistemáticas de supervisão, acompanhamento e controle de qualidade dos produtos fornecidos;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 xml:space="preserve">g) Designar representante com competência legal para proceder ao acompanhamento no recebimento dos produtos ofertados. 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h) Aplicar penalidades à licitante vencedora, por descumprimento contratual/nota de empenho.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b/>
          <w:sz w:val="22"/>
          <w:szCs w:val="22"/>
        </w:rPr>
      </w:pPr>
      <w:r>
        <w:rPr>
          <w:rFonts w:ascii="Calibri" w:hAnsi="Calibri" w:eastAsia="Calibri"/>
          <w:b/>
          <w:sz w:val="22"/>
          <w:szCs w:val="22"/>
        </w:rPr>
        <w:t>5.2 Obrigações da Contratada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5.2.1 - Na execução do objeto do contrato, obriga-se a CONTRATADA: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a)Fornecer o objeto contratado, de acordo com as condições e prazos propostos, e demais especificações do Edital e seus Anexos.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 xml:space="preserve">b)Substituir, obrigatoriamente, qualquer produto que esteja fora das especificações, no prazo máximo de 02 (dois) dias úteis, sendo que os custos decorrentes dessa substituição serão pagos pela licitante vencedora. 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c) Submeter à aprovação do CONTRATANTE toda e qualquer alteração ocorrida nas especificações, em face de imposições técnicas ou de cunho administrativo e legal.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 xml:space="preserve">d)Apresentar documento fiscal especificando todo o material fornecido, com indicação de preços unitários e total; 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e) Respeitar as normas e procedimentos de controle e acesso às dependências do Contratante;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f) Responder pelos danos causados diretamente ao CONTRATANTE ou a terceiros, decorrente de culpa ou dolo, durante o fornecimento, não excluindo ou reduzindo esta responsabilidade a fiscalização ou acompanhamento pelo CONTRATANTE.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 xml:space="preserve">g) Solicitar em tempo hábil, todas as informações de que necessitar para o cumprimento de suas obrigações contratuais; 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h)Manter as condições de habilitação apresentadas na licitação, quando da realização do pagamento pela CONTRATANTE.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i) Prestar os esclarecimentos que forem solicitados pela CONTRATANTE.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 xml:space="preserve">j) São de exclusiva responsabilidade da CONTRATADA todos os tributos (impostos, taxas, 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e documentos, contribuições fiscais e para fiscais), bem como todas as demais despesas que direta ou indiretas incidam sobre o objeto tais como, embalagens, fretes, mão-de-obra, seguros, despesas administrativas e eventuais que possam surgir.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b/>
          <w:sz w:val="22"/>
          <w:szCs w:val="22"/>
        </w:rPr>
      </w:pPr>
      <w:r>
        <w:rPr>
          <w:rFonts w:ascii="Calibri" w:hAnsi="Calibri" w:eastAsia="Calibri"/>
          <w:b/>
          <w:sz w:val="22"/>
          <w:szCs w:val="22"/>
        </w:rPr>
        <w:t>6. DO PAGAMENTO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 xml:space="preserve">6.1 - O pagamento será efetuado após liquidação da despesa por meio de crédito em conta corrente, indicada pela licitante(s) vencedora(s), em 30 (trinta) dias após o recebimento do produto licitado, mediante a apresentação de Nota Fiscal/Fatura, devidamente certificada pelo setor responsável de recebimento da </w:t>
      </w:r>
      <w:r>
        <w:rPr>
          <w:rFonts w:ascii="Calibri" w:hAnsi="Calibri" w:eastAsia="Calibri"/>
          <w:b/>
          <w:sz w:val="22"/>
          <w:szCs w:val="22"/>
        </w:rPr>
        <w:t>Secretaria Municipal de Saúde</w:t>
      </w:r>
      <w:r>
        <w:rPr>
          <w:rFonts w:ascii="Calibri" w:hAnsi="Calibri" w:eastAsia="Calibri"/>
          <w:sz w:val="22"/>
          <w:szCs w:val="22"/>
        </w:rPr>
        <w:t>.</w:t>
      </w:r>
      <w:r>
        <w:rPr>
          <w:rFonts w:ascii="Calibri" w:hAnsi="Calibri" w:eastAsia="Calibri"/>
          <w:sz w:val="22"/>
          <w:szCs w:val="22"/>
        </w:rPr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6.2 - Para fazer jus ao pagamento, a empresa deverá apresentar, juntamente com o documento de cobrança, a prova de regularidade com a Fazenda Federal, Estadual, Municipal, prova de regularidade perante o Instituto Nacional do Seguro Social – INSS, perante o Fundo de Garantia por Tempo de Serviço – FGTS - CRF, fornecido pela Caixa Econômica Federal e Trabalhista.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6.3 - Nenhum pagamento será efetuado à empresa, enquanto houver pendência de liquidação de obrigação financeira, em virtude de penalidade ou inadimplência contratual.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 xml:space="preserve">6.4 - Caso se faça necessária a reapresentação de qualquer Nota Fiscal/Fatura por culpa da 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CONTRATADA, o prazo de 30 (trinta) dias reiniciar-se-á a contar da data da respectiva reapresentação.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6.5 - Não haverá, sob hipótese alguma, pagamento antecipado.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b/>
          <w:sz w:val="22"/>
          <w:szCs w:val="22"/>
        </w:rPr>
      </w:pPr>
      <w:r>
        <w:rPr>
          <w:rFonts w:ascii="Calibri" w:hAnsi="Calibri" w:eastAsia="Calibri"/>
          <w:b/>
          <w:sz w:val="22"/>
          <w:szCs w:val="22"/>
        </w:rPr>
        <w:t>7. DO LOCAL E PRAZO DE ENTREGA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7.1 A entrega do material será de inteira responsabilidade da licitante vencedora do Item, ficando ainda, responsável por toda despesa decorrente do transporte do produto licitado (Frete, CIF).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7.2 – O setor solicitante entrará em contato com a empresa vencedora, formalizando a solicitação de fornecimento.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7.3 - O objeto desta licitação deverá ser entregue no prazo máximo de 05 (cinco) dias consecutivos, a partir da assinatura do contrato e/ou recebimento da Nota de Empenho, nas condições estipuladas na Proposta Comercial, na Travessa Valeriano Pagani, centro – São Domingos do Norte-ES de segunda a sexta-feira, no horário das 07:00 as 16:00 horas.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7.4 - Pelo descumprimento do prazo de entrega, será aplicada a sanção constante no item 08 - DAS SANÇÕES, deste Termo.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7.5 - A falta do produto, objeto deste certame, não poderá ser alegada como motivo de força maior para o atraso, má execução ou inexecução do fornecimento objeto desta licitação e não eximirá a fornecedora das sanções a que está sujeita pelo não cumprimento dos prazos e demais condições estabelecidas.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b/>
          <w:sz w:val="22"/>
          <w:szCs w:val="22"/>
        </w:rPr>
      </w:pPr>
      <w:r>
        <w:rPr>
          <w:rFonts w:ascii="Calibri" w:hAnsi="Calibri" w:eastAsia="Calibri"/>
          <w:b/>
          <w:sz w:val="22"/>
          <w:szCs w:val="22"/>
        </w:rPr>
        <w:t>8. DAS SANÇÕES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 xml:space="preserve">8.1 - O descumprimento, por parte da CONTRATADA, das obrigações contratuais assumidas, ou a infringência dos preceitos legais pertinentes, ensejará a aplicação das sanções previstas na Lei nº. 10.520/02, que se encontram indicadas abaixo: 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 xml:space="preserve">a) advertência, por escrito, sempre que forem constatadas falhas de pouca gravidade; 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b) multa: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 xml:space="preserve">I - pelo atraso na entrega dos produtos em relação ao prazo estipulado: multa de 1% (um por cento) do valor do produto não entregue, por dia decorrido, até o limite de 10% (dez por cento) do valor do produto; 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 xml:space="preserve">II - pela recusa em efetuar o fornecimento e/ou pela não entrega dos produtos, caracterizada em 10 (dez) dias após o vencimento do prazo de entrega estipulado: multa de 20% (vinte por cento) do valor do produto; 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 xml:space="preserve">III - pela demora em substituir os produtos rejeitados, a contar do terceiro dia útil da data da 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 xml:space="preserve">notificação da rejeição, multa de 2% (dois por cento) do valor do produto recusado, por dia decorrido, até o limite de 5 (cinco) dias; 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 xml:space="preserve">IV - pela recusa da CONTRATADA em substituir os produtos rejeitados, entendendo-se como recusa a substituição não efetivada nos cinco dias que se seguirem à da rejeição: multa de 20% (vinte por cento) do valor do produto rejeitado; 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V - pelo atraso injustificado na Assinatura do Contrato ou Termo Substitutivo e retirada da Nota de Empenho: multa de 1% (um por cento), do valor global do contrato, por dia decorrido. (após o 5º dia de atraso configura-se recusa, aplicando-se a sanção prevista abaixo);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VI - pela recusa na Assinatura do Contrato ou Termo Substitutivo e retirada da Nota de Empenho: multa de 10% (dez por cento) do valor global do contrato.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c) suspensão temporária, de participar em licitação e impedimento de contratar com o CONTRATANTE pelo prazo de até 5 (cinco) anos, sem prejuízo das multas previstas neste contrato, nos moldes do art. 7º da Lei nº 10.520/2002. Da seguinte forma: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I- 01 ano- quando o licitante convocado dentro do prazo de validade de sua proposta não celebrar contrato e/ ou não mantiver a proposta;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II- 02 anos- deixar de entregar documentação ou entregar documentação falsa exigida para o certame;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III- 03 anos- fraudar ou falhar na execução do contrato;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IV- 04 anos - comporta-se de modo inidôneo ou cometer fraude fiscal;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V- 05 anos- quando o contratado cumular duas ou mais inadimplências citadas acima;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8.2 - As multas estabelecidas no subitem anterior,podem ser aplicadas isolada ou cumulativamente, ficando o seu total limitado a 30% (trinta por cento) do valor contratado, sem prejuízo de perdas e danos cabíveis.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 xml:space="preserve">8.3 - As sanções de natureza pecuniária serão diretamente descontadas de créditos que eventualmente detenha a CONTRATADA, ou  efetuada a sua cobrança na forma prevista em lei. 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 xml:space="preserve">8.4 - As sanções previstas não poderão ser relevadas, salvo quando ficar comprovada a ocorrência de situações que se enquadrem no conceito jurídico de força maior ou casos fortuitos, devidos e formalmente justificados e comprovados, e sempre a critério da autoridade competente. 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8.5 - No caso de suspensão de licitar, a CONTRATADA será descredenciada por até 5 (cinco) anos, sem prejuízo das multas previstas neste Edital e das demais comunicações legais (art. 7º da Lei 10.520 de 17/07/02).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b/>
          <w:sz w:val="22"/>
          <w:szCs w:val="22"/>
        </w:rPr>
      </w:pPr>
      <w:r>
        <w:rPr>
          <w:rFonts w:ascii="Calibri" w:hAnsi="Calibri" w:eastAsia="Calibri"/>
          <w:b/>
          <w:sz w:val="22"/>
          <w:szCs w:val="22"/>
        </w:rPr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b/>
          <w:sz w:val="22"/>
          <w:szCs w:val="22"/>
        </w:rPr>
      </w:pPr>
      <w:r>
        <w:rPr>
          <w:rFonts w:ascii="Calibri" w:hAnsi="Calibri" w:eastAsia="Calibri"/>
          <w:b/>
          <w:sz w:val="22"/>
          <w:szCs w:val="22"/>
        </w:rPr>
        <w:t>9. ESPECIFICAÇÕES DOS ITENS: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9.1-Conforme quantitativos descritos na tabela em anexo.</w:t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b/>
          <w:sz w:val="22"/>
          <w:szCs w:val="22"/>
        </w:rPr>
      </w:pPr>
      <w:r>
        <w:rPr>
          <w:rFonts w:ascii="Calibri" w:hAnsi="Calibri" w:eastAsia="Calibri"/>
          <w:b/>
          <w:sz w:val="22"/>
          <w:szCs w:val="22"/>
        </w:rPr>
      </w:r>
    </w:p>
    <w:p>
      <w:pPr>
        <w:spacing/>
        <w:jc w:val="both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b/>
          <w:sz w:val="22"/>
          <w:szCs w:val="22"/>
        </w:rPr>
      </w:pPr>
      <w:r>
        <w:rPr>
          <w:rFonts w:ascii="Calibri" w:hAnsi="Calibri" w:eastAsia="Calibri"/>
          <w:b/>
          <w:sz w:val="22"/>
          <w:szCs w:val="22"/>
        </w:rPr>
      </w:r>
    </w:p>
    <w:tbl>
      <w:tblPr>
        <w:tblStyle w:val="TableNormal"/>
        <w:name w:val="Tabela3"/>
        <w:tabOrder w:val="0"/>
        <w:jc w:val="left"/>
        <w:tblInd w:w="38" w:type="dxa"/>
        <w:tblW w:w="9426" w:type="dxa"/>
        <w:tblLook w:val="0600" w:firstRow="0" w:lastRow="0" w:firstColumn="0" w:lastColumn="0" w:noHBand="1" w:noVBand="1"/>
      </w:tblPr>
      <w:tblGrid>
        <w:gridCol w:w="779"/>
        <w:gridCol w:w="1585"/>
        <w:gridCol w:w="1675"/>
        <w:gridCol w:w="1276"/>
        <w:gridCol w:w="1559"/>
        <w:gridCol w:w="993"/>
        <w:gridCol w:w="1559"/>
      </w:tblGrid>
      <w:tr>
        <w:trPr>
          <w:tblHeader w:val="0"/>
          <w:cantSplit w:val="0"/>
          <w:trHeight w:val="0" w:hRule="auto"/>
        </w:trPr>
        <w:tc>
          <w:tcPr>
            <w:tcW w:w="77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ITEM</w:t>
            </w:r>
          </w:p>
        </w:tc>
        <w:tc>
          <w:tcPr>
            <w:tcW w:w="15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MARCA</w:t>
            </w:r>
          </w:p>
        </w:tc>
        <w:tc>
          <w:tcPr>
            <w:tcW w:w="167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MODELO</w:t>
            </w:r>
          </w:p>
        </w:tc>
        <w:tc>
          <w:tcPr>
            <w:tcW w:w="1276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PLACA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REFERÊNCIA DO PNEU</w:t>
            </w:r>
          </w:p>
        </w:tc>
        <w:tc>
          <w:tcPr>
            <w:tcW w:w="993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QUANT.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LOCALIZAÇÃO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77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01</w:t>
            </w:r>
          </w:p>
        </w:tc>
        <w:tc>
          <w:tcPr>
            <w:tcW w:w="15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FIAT</w:t>
            </w:r>
          </w:p>
        </w:tc>
        <w:tc>
          <w:tcPr>
            <w:tcW w:w="167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DOBLO 07 LUGARES</w:t>
            </w:r>
          </w:p>
        </w:tc>
        <w:tc>
          <w:tcPr>
            <w:tcW w:w="1276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PPG 5553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185/60 R15</w:t>
            </w:r>
          </w:p>
        </w:tc>
        <w:tc>
          <w:tcPr>
            <w:tcW w:w="993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12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6"/>
                <w:szCs w:val="16"/>
              </w:rPr>
            </w:pPr>
            <w:r>
              <w:rPr>
                <w:rFonts w:ascii="Calibri" w:hAnsi="Calibri" w:eastAsia="MS Mincho"/>
                <w:b/>
                <w:sz w:val="16"/>
                <w:szCs w:val="16"/>
              </w:rPr>
              <w:t>FUNASA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77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02</w:t>
            </w:r>
          </w:p>
        </w:tc>
        <w:tc>
          <w:tcPr>
            <w:tcW w:w="15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HONDA</w:t>
            </w:r>
          </w:p>
        </w:tc>
        <w:tc>
          <w:tcPr>
            <w:tcW w:w="167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MOTOCICLETA</w:t>
            </w:r>
          </w:p>
        </w:tc>
        <w:tc>
          <w:tcPr>
            <w:tcW w:w="1276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MQP 3290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DIANTEIRO 2-75.18</w:t>
            </w:r>
          </w:p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TRASEIRO 90/90-18</w:t>
            </w:r>
          </w:p>
        </w:tc>
        <w:tc>
          <w:tcPr>
            <w:tcW w:w="993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01 DE CADA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6"/>
                <w:szCs w:val="16"/>
              </w:rPr>
            </w:pPr>
            <w:r>
              <w:rPr>
                <w:rFonts w:ascii="Calibri" w:hAnsi="Calibri" w:eastAsia="MS Mincho"/>
                <w:b/>
                <w:sz w:val="16"/>
                <w:szCs w:val="16"/>
              </w:rPr>
              <w:t>ADMINISTRATIVO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77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03</w:t>
            </w:r>
          </w:p>
        </w:tc>
        <w:tc>
          <w:tcPr>
            <w:tcW w:w="15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FORD</w:t>
            </w:r>
          </w:p>
        </w:tc>
        <w:tc>
          <w:tcPr>
            <w:tcW w:w="167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CAMIONETE RANGER</w:t>
            </w:r>
          </w:p>
        </w:tc>
        <w:tc>
          <w:tcPr>
            <w:tcW w:w="1276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PPG 5554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255/70 R 16</w:t>
            </w:r>
          </w:p>
        </w:tc>
        <w:tc>
          <w:tcPr>
            <w:tcW w:w="993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12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6"/>
                <w:szCs w:val="16"/>
              </w:rPr>
            </w:pPr>
            <w:r>
              <w:rPr>
                <w:rFonts w:ascii="Calibri" w:hAnsi="Calibri" w:eastAsia="MS Mincho"/>
                <w:b/>
                <w:sz w:val="16"/>
                <w:szCs w:val="16"/>
              </w:rPr>
              <w:t>ESF”RUBENS RANGEL”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77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04</w:t>
            </w:r>
          </w:p>
        </w:tc>
        <w:tc>
          <w:tcPr>
            <w:tcW w:w="15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FIAT</w:t>
            </w:r>
          </w:p>
        </w:tc>
        <w:tc>
          <w:tcPr>
            <w:tcW w:w="167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DOBLO</w:t>
            </w:r>
          </w:p>
        </w:tc>
        <w:tc>
          <w:tcPr>
            <w:tcW w:w="1276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OYF 9102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185/70 R 14</w:t>
            </w:r>
          </w:p>
        </w:tc>
        <w:tc>
          <w:tcPr>
            <w:tcW w:w="993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12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6"/>
                <w:szCs w:val="16"/>
              </w:rPr>
            </w:pPr>
            <w:r>
              <w:rPr>
                <w:rFonts w:ascii="Calibri" w:hAnsi="Calibri" w:eastAsia="MS Mincho"/>
                <w:b/>
                <w:sz w:val="16"/>
                <w:szCs w:val="16"/>
              </w:rPr>
              <w:t>ECD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77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05</w:t>
            </w:r>
          </w:p>
        </w:tc>
        <w:tc>
          <w:tcPr>
            <w:tcW w:w="15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 xml:space="preserve">FIAT </w:t>
            </w:r>
          </w:p>
        </w:tc>
        <w:tc>
          <w:tcPr>
            <w:tcW w:w="167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UNO VIVACE</w:t>
            </w:r>
          </w:p>
        </w:tc>
        <w:tc>
          <w:tcPr>
            <w:tcW w:w="1276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OCY 3258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175/70 R13</w:t>
            </w:r>
          </w:p>
        </w:tc>
        <w:tc>
          <w:tcPr>
            <w:tcW w:w="993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08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6"/>
                <w:szCs w:val="16"/>
              </w:rPr>
            </w:pPr>
            <w:r>
              <w:rPr>
                <w:rFonts w:ascii="Calibri" w:hAnsi="Calibri" w:eastAsia="MS Mincho"/>
                <w:b/>
                <w:sz w:val="16"/>
                <w:szCs w:val="16"/>
              </w:rPr>
              <w:t>ADMINISTRATIVO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77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06</w:t>
            </w:r>
          </w:p>
        </w:tc>
        <w:tc>
          <w:tcPr>
            <w:tcW w:w="15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FIAT</w:t>
            </w:r>
          </w:p>
        </w:tc>
        <w:tc>
          <w:tcPr>
            <w:tcW w:w="167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DOBLO AMBULANCIA</w:t>
            </w:r>
          </w:p>
        </w:tc>
        <w:tc>
          <w:tcPr>
            <w:tcW w:w="1276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PPG 5558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185/70 R 14</w:t>
            </w:r>
          </w:p>
        </w:tc>
        <w:tc>
          <w:tcPr>
            <w:tcW w:w="993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16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6"/>
                <w:szCs w:val="16"/>
              </w:rPr>
            </w:pPr>
            <w:r>
              <w:rPr>
                <w:rFonts w:ascii="Calibri" w:hAnsi="Calibri" w:eastAsia="MS Mincho"/>
                <w:b/>
                <w:sz w:val="16"/>
                <w:szCs w:val="16"/>
              </w:rPr>
              <w:t>US “EUGÊNIO MALACARNE”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77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07</w:t>
            </w:r>
          </w:p>
        </w:tc>
        <w:tc>
          <w:tcPr>
            <w:tcW w:w="15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CHEVROLET</w:t>
            </w:r>
          </w:p>
        </w:tc>
        <w:tc>
          <w:tcPr>
            <w:tcW w:w="167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S10 AMBULANCIA</w:t>
            </w:r>
          </w:p>
        </w:tc>
        <w:tc>
          <w:tcPr>
            <w:tcW w:w="1276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PPG 5552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245/70 R16</w:t>
            </w:r>
          </w:p>
        </w:tc>
        <w:tc>
          <w:tcPr>
            <w:tcW w:w="993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16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6"/>
                <w:szCs w:val="16"/>
              </w:rPr>
            </w:pPr>
            <w:r>
              <w:rPr>
                <w:rFonts w:ascii="Calibri" w:hAnsi="Calibri" w:eastAsia="MS Mincho"/>
                <w:b/>
                <w:sz w:val="16"/>
                <w:szCs w:val="16"/>
              </w:rPr>
              <w:t>US “EUGÊNIO MALACARNE”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77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08</w:t>
            </w:r>
          </w:p>
        </w:tc>
        <w:tc>
          <w:tcPr>
            <w:tcW w:w="15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MERCEDES BENZ</w:t>
            </w:r>
          </w:p>
        </w:tc>
        <w:tc>
          <w:tcPr>
            <w:tcW w:w="167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SPRINTER AMBULÂNCIA ESTADO</w:t>
            </w:r>
          </w:p>
        </w:tc>
        <w:tc>
          <w:tcPr>
            <w:tcW w:w="1276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OYK 7791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225/75 R 16</w:t>
            </w:r>
          </w:p>
        </w:tc>
        <w:tc>
          <w:tcPr>
            <w:tcW w:w="993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12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6"/>
                <w:szCs w:val="16"/>
              </w:rPr>
            </w:pPr>
            <w:r>
              <w:rPr>
                <w:rFonts w:ascii="Calibri" w:hAnsi="Calibri" w:eastAsia="MS Mincho"/>
                <w:b/>
                <w:sz w:val="16"/>
                <w:szCs w:val="16"/>
              </w:rPr>
              <w:t>US “EUGÊNIO MALACARNE”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77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09</w:t>
            </w:r>
          </w:p>
        </w:tc>
        <w:tc>
          <w:tcPr>
            <w:tcW w:w="15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CHEVROLET</w:t>
            </w:r>
          </w:p>
        </w:tc>
        <w:tc>
          <w:tcPr>
            <w:tcW w:w="167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 xml:space="preserve">S10 </w:t>
            </w:r>
          </w:p>
        </w:tc>
        <w:tc>
          <w:tcPr>
            <w:tcW w:w="1276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PPV 1002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245/70 R16</w:t>
            </w:r>
          </w:p>
        </w:tc>
        <w:tc>
          <w:tcPr>
            <w:tcW w:w="993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16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6"/>
                <w:szCs w:val="16"/>
              </w:rPr>
            </w:pPr>
            <w:r>
              <w:rPr>
                <w:rFonts w:ascii="Calibri" w:hAnsi="Calibri" w:eastAsia="MS Mincho"/>
                <w:b/>
                <w:sz w:val="16"/>
                <w:szCs w:val="16"/>
              </w:rPr>
              <w:t>US “EUGÊNIO MALACARNE”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77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10</w:t>
            </w:r>
          </w:p>
        </w:tc>
        <w:tc>
          <w:tcPr>
            <w:tcW w:w="15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CHEVROLET</w:t>
            </w:r>
          </w:p>
        </w:tc>
        <w:tc>
          <w:tcPr>
            <w:tcW w:w="167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 xml:space="preserve">S10 </w:t>
            </w:r>
          </w:p>
        </w:tc>
        <w:tc>
          <w:tcPr>
            <w:tcW w:w="1276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PPV 1003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245/70 R16</w:t>
            </w:r>
          </w:p>
        </w:tc>
        <w:tc>
          <w:tcPr>
            <w:tcW w:w="993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16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6"/>
                <w:szCs w:val="16"/>
              </w:rPr>
            </w:pPr>
            <w:r>
              <w:rPr>
                <w:rFonts w:ascii="Calibri" w:hAnsi="Calibri" w:eastAsia="MS Mincho"/>
                <w:b/>
                <w:sz w:val="16"/>
                <w:szCs w:val="16"/>
              </w:rPr>
              <w:t>ESF”RUBENS RANGEL”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77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11</w:t>
            </w:r>
          </w:p>
        </w:tc>
        <w:tc>
          <w:tcPr>
            <w:tcW w:w="15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WOLKSVAGEM</w:t>
            </w:r>
          </w:p>
        </w:tc>
        <w:tc>
          <w:tcPr>
            <w:tcW w:w="167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SPRINTER AMBUL.</w:t>
            </w:r>
          </w:p>
        </w:tc>
        <w:tc>
          <w:tcPr>
            <w:tcW w:w="1276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PPG 5550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225/75 R16</w:t>
            </w:r>
          </w:p>
        </w:tc>
        <w:tc>
          <w:tcPr>
            <w:tcW w:w="993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16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6"/>
                <w:szCs w:val="16"/>
              </w:rPr>
            </w:pPr>
            <w:r>
              <w:rPr>
                <w:rFonts w:ascii="Calibri" w:hAnsi="Calibri" w:eastAsia="MS Mincho"/>
                <w:b/>
                <w:sz w:val="16"/>
                <w:szCs w:val="16"/>
              </w:rPr>
              <w:t>US “EUGÊNIO MALACARNE”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77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12</w:t>
            </w:r>
          </w:p>
        </w:tc>
        <w:tc>
          <w:tcPr>
            <w:tcW w:w="15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 xml:space="preserve">TOYOTA </w:t>
            </w:r>
          </w:p>
        </w:tc>
        <w:tc>
          <w:tcPr>
            <w:tcW w:w="167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ETIOS</w:t>
            </w:r>
          </w:p>
        </w:tc>
        <w:tc>
          <w:tcPr>
            <w:tcW w:w="1276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PPV 1004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175/65 R14</w:t>
            </w:r>
          </w:p>
        </w:tc>
        <w:tc>
          <w:tcPr>
            <w:tcW w:w="993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12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6"/>
                <w:szCs w:val="16"/>
              </w:rPr>
            </w:pPr>
            <w:r>
              <w:rPr>
                <w:rFonts w:ascii="Calibri" w:hAnsi="Calibri" w:eastAsia="MS Mincho"/>
                <w:b/>
                <w:sz w:val="16"/>
                <w:szCs w:val="16"/>
              </w:rPr>
              <w:t>ESF”RUBENS RANGEL”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77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13</w:t>
            </w:r>
          </w:p>
        </w:tc>
        <w:tc>
          <w:tcPr>
            <w:tcW w:w="15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VOLAREN</w:t>
            </w:r>
          </w:p>
        </w:tc>
        <w:tc>
          <w:tcPr>
            <w:tcW w:w="167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MICRO ONIBUS</w:t>
            </w:r>
          </w:p>
        </w:tc>
        <w:tc>
          <w:tcPr>
            <w:tcW w:w="1276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PPV 1006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215/75 R17,5</w:t>
            </w:r>
          </w:p>
        </w:tc>
        <w:tc>
          <w:tcPr>
            <w:tcW w:w="993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36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6"/>
                <w:szCs w:val="16"/>
              </w:rPr>
            </w:pPr>
            <w:r>
              <w:rPr>
                <w:rFonts w:ascii="Calibri" w:hAnsi="Calibri" w:eastAsia="MS Mincho"/>
                <w:b/>
                <w:sz w:val="16"/>
                <w:szCs w:val="16"/>
              </w:rPr>
              <w:t>US “EUGÊNIO MALACARNE”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77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14</w:t>
            </w:r>
          </w:p>
        </w:tc>
        <w:tc>
          <w:tcPr>
            <w:tcW w:w="158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VOLAREN</w:t>
            </w:r>
          </w:p>
        </w:tc>
        <w:tc>
          <w:tcPr>
            <w:tcW w:w="1675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MICRO ONIBUS</w:t>
            </w:r>
          </w:p>
        </w:tc>
        <w:tc>
          <w:tcPr>
            <w:tcW w:w="1276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PPV 1007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215/75 R17,5</w:t>
            </w:r>
          </w:p>
        </w:tc>
        <w:tc>
          <w:tcPr>
            <w:tcW w:w="993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8"/>
                <w:szCs w:val="18"/>
              </w:rPr>
            </w:pPr>
            <w:r>
              <w:rPr>
                <w:rFonts w:ascii="Calibri" w:hAnsi="Calibri" w:eastAsia="MS Mincho"/>
                <w:b/>
                <w:sz w:val="18"/>
                <w:szCs w:val="18"/>
              </w:rPr>
              <w:t>24</w:t>
            </w:r>
          </w:p>
        </w:tc>
        <w:tc>
          <w:tcPr>
            <w:tcW w:w="155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79709600" protected="1"/>
          </w:tcPr>
          <w:p>
            <w:pPr>
              <w:spacing/>
              <w:jc w:val="center"/>
              <w:widowControl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Calibri" w:hAnsi="Calibri" w:eastAsia="MS Mincho"/>
                <w:b/>
                <w:sz w:val="16"/>
                <w:szCs w:val="16"/>
              </w:rPr>
            </w:pPr>
            <w:r>
              <w:rPr>
                <w:rFonts w:ascii="Calibri" w:hAnsi="Calibri" w:eastAsia="MS Mincho"/>
                <w:b/>
                <w:sz w:val="16"/>
                <w:szCs w:val="16"/>
              </w:rPr>
              <w:t>US “EUGÊNIO MALACARNE”</w:t>
            </w:r>
          </w:p>
        </w:tc>
      </w:tr>
    </w:tbl>
    <w:p>
      <w:pPr>
        <w:spacing/>
        <w:jc w:val="right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</w:r>
    </w:p>
    <w:p>
      <w:pPr>
        <w:spacing/>
        <w:jc w:val="right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</w:r>
    </w:p>
    <w:p>
      <w:pPr>
        <w:spacing/>
        <w:jc w:val="right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 xml:space="preserve">São Domingos do Norte-ES, 13 de novembro de 2019.   </w:t>
      </w:r>
    </w:p>
    <w:p>
      <w:pPr>
        <w:spacing/>
        <w:jc w:val="center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</w:r>
    </w:p>
    <w:p>
      <w:pPr>
        <w:spacing/>
        <w:jc w:val="center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</w:r>
    </w:p>
    <w:p>
      <w:pPr>
        <w:spacing/>
        <w:jc w:val="center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</w:r>
    </w:p>
    <w:p>
      <w:pPr>
        <w:spacing/>
        <w:jc w:val="center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Antonio Ângelo Moschen</w:t>
      </w:r>
    </w:p>
    <w:p>
      <w:pPr>
        <w:spacing/>
        <w:jc w:val="center"/>
        <w:widowControl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Calibri" w:hAnsi="Calibri" w:eastAsia="Calibri"/>
          <w:sz w:val="22"/>
          <w:szCs w:val="22"/>
        </w:rPr>
      </w:pPr>
      <w:r>
        <w:rPr>
          <w:rFonts w:ascii="Calibri" w:hAnsi="Calibri" w:eastAsia="Calibri"/>
          <w:sz w:val="22"/>
          <w:szCs w:val="22"/>
        </w:rPr>
        <w:t>Secretário Municipal de Saúde</w:t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headerReference w:type="default" r:id="rId7"/>
      <w:type w:val="continuous"/>
      <w:pgSz w:h="16839" w:w="11907"/>
      <w:pgMar w:left="1134" w:top="1134" w:right="1134" w:bottom="1134" w:header="567" w:footer="0"/>
      <w:paperSrc w:first="7" w:other="7" a="0" b="0"/>
      <w:pgNumType w:fmt="decimal"/>
      <w:tmGutter w:val="1"/>
      <w:mirrorMargins w:val="0"/>
      <w:tmSection w:h="-1">
        <w:tmHeader w:id="0" w:h="0" edge="567" text="0">
          <w:shd w:val="none"/>
        </w:tmHead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Calibri">
    <w:panose1 w:val="020F0502020204030204"/>
    <w:charset w:val="00"/>
    <w:family w:val="swiss"/>
    <w:pitch w:val="default"/>
  </w:font>
  <w:font w:name="Georgia">
    <w:panose1 w:val="02040502050405020303"/>
    <w:charset w:val="00"/>
    <w:family w:val="roman"/>
    <w:pitch w:val="default"/>
  </w:font>
  <w:font w:name="Arial Unicode MS">
    <w:panose1 w:val="020B0604020202020204"/>
    <w:charset w:val="00"/>
    <w:family w:val="auto"/>
    <w:pitch w:val="default"/>
  </w:font>
  <w:font w:name="MS Mincho">
    <w:panose1 w:val="020B0604020202020204"/>
    <w:charset w:val="00"/>
    <w:family w:val="auto"/>
    <w:pitch w:val="default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spacing/>
      <w:jc w:val="center"/>
      <w:widowControl/>
      <w:pBdr>
        <w:top w:val="nil" w:sz="0" w:space="0" w:color="000000" tmln="20, 20, 20, 0, 0"/>
        <w:left w:val="nil" w:sz="0" w:space="0" w:color="000000" tmln="20, 20, 20, 0, 0"/>
        <w:bottom w:val="nil" w:sz="0" w:space="0" w:color="000000" tmln="20, 20, 20, 0, 0"/>
        <w:right w:val="nil" w:sz="0" w:space="0" w:color="000000" tmln="20, 20, 20, 0, 0"/>
        <w:between w:val="nil" w:sz="0" w:space="0" w:color="000000" tmln="20, 20, 20, 0, 0"/>
      </w:pBdr>
      <w:shd w:val="none"/>
      <w:rPr>
        <w:rFonts w:ascii="Calibri" w:hAnsi="Calibri" w:eastAsia="Calibri"/>
        <w:sz w:val="22"/>
        <w:szCs w:val="22"/>
      </w:rPr>
    </w:pPr>
    <w:r>
      <w:rPr>
        <w:rFonts w:ascii="Calibri" w:hAnsi="Calibri" w:eastAsia="Calibri"/>
        <w:sz w:val="22"/>
        <w:szCs w:val="22"/>
      </w:rPr>
    </w:r>
  </w:p>
  <w:p>
    <w:pPr>
      <w:spacing/>
      <w:jc w:val="center"/>
      <w:widowControl/>
      <w:pBdr>
        <w:top w:val="nil" w:sz="0" w:space="0" w:color="000000" tmln="20, 20, 20, 0, 0"/>
        <w:left w:val="nil" w:sz="0" w:space="0" w:color="000000" tmln="20, 20, 20, 0, 0"/>
        <w:bottom w:val="nil" w:sz="0" w:space="0" w:color="000000" tmln="20, 20, 20, 0, 0"/>
        <w:right w:val="nil" w:sz="0" w:space="0" w:color="000000" tmln="20, 20, 20, 0, 0"/>
        <w:between w:val="nil" w:sz="0" w:space="0" w:color="000000" tmln="20, 20, 20, 0, 0"/>
      </w:pBdr>
      <w:shd w:val="none"/>
      <w:rPr>
        <w:rFonts w:ascii="Calibri" w:hAnsi="Calibri" w:eastAsia="Calibri"/>
        <w:sz w:val="22"/>
        <w:szCs w:val="22"/>
      </w:rPr>
    </w:pPr>
    <w:r/>
    <w:r>
      <w:rPr>
        <w:noProof/>
      </w:rPr>
      <w:drawing>
        <wp:inline distT="0" distB="0" distL="114300" distR="114300">
          <wp:extent cx="619125" cy="457200"/>
          <wp:effectExtent l="0" t="0" r="0" b="0"/>
          <wp:docPr id="1" name="Imagem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1"/>
                  <pic:cNvPicPr>
                    <a:extLst>
                      <a:ext uri="smNativeData">
                        <sm:smNativeData xmlns:sm="smNativeData" val="SMDATA_14_oHQoXhMAAAAlAAAAEQ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M8DAADQAgAAzwMAANACAAAAAAAACQAAAAQAAAAAAAAADAAAABAAAAAAAAAAAAAAAAAAAAAAAAAAHgAAAGgAAAAAAAAAAAAAAAAAAAAAAAAAAAAAABAnAAAQJwAAAAAAAAAAAAAAAAAAAAAAAAAAAAAAAAAAAAAAAAAAAAAUAAAAAAAAAMDA/wAAAAAAZAAAADIAAAAAAAAAZAAAAAAAAAB/f38ACgAAACEAAABAAAAAPAAAAAEAAAAXoAAAAAAAAAAAAAAAAAAAAgAAAGoOAAAAAAAAAgAAANr+///PAwAA0AIAAAAAAAAPFQAAqwIAACgAAAAIAAAAAQAAAAEAAAA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9125" cy="457200"/>
                  </a:xfrm>
                  <a:prstGeom prst="rect">
                    <a:avLst/>
                  </a:prstGeom>
                  <a:solidFill>
                    <a:srgbClr val="FFFFFF"/>
                  </a:solidFill>
                  <a:ln w="12700">
                    <a:noFill/>
                  </a:ln>
                </pic:spPr>
              </pic:pic>
            </a:graphicData>
          </a:graphic>
        </wp:inline>
      </w:drawing>
    </w:r>
    <w:r/>
    <w:r>
      <w:rPr>
        <w:rFonts w:ascii="Calibri" w:hAnsi="Calibri" w:eastAsia="Calibri"/>
        <w:sz w:val="22"/>
        <w:szCs w:val="22"/>
      </w:rPr>
    </w:r>
  </w:p>
  <w:p>
    <w:pPr>
      <w:pStyle w:val="para3"/>
      <w:spacing w:before="0" w:after="0"/>
      <w:jc w:val="center"/>
      <w:keepLines w:val="0"/>
      <w:widowControl/>
      <w:pBdr>
        <w:top w:val="nil" w:sz="0" w:space="0" w:color="000000" tmln="20, 20, 20, 0, 0"/>
        <w:left w:val="nil" w:sz="0" w:space="0" w:color="000000" tmln="20, 20, 20, 0, 0"/>
        <w:bottom w:val="nil" w:sz="0" w:space="0" w:color="000000" tmln="20, 20, 20, 0, 0"/>
        <w:right w:val="nil" w:sz="0" w:space="0" w:color="000000" tmln="20, 20, 20, 0, 0"/>
        <w:between w:val="nil" w:sz="0" w:space="0" w:color="000000" tmln="20, 20, 20, 0, 0"/>
      </w:pBdr>
      <w:shd w:val="none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</w:r>
  </w:p>
  <w:p>
    <w:pPr>
      <w:pStyle w:val="para3"/>
      <w:spacing w:before="0" w:after="0"/>
      <w:jc w:val="center"/>
      <w:keepLines w:val="0"/>
      <w:widowControl/>
      <w:pBdr>
        <w:top w:val="nil" w:sz="0" w:space="0" w:color="000000" tmln="20, 20, 20, 0, 0"/>
        <w:left w:val="nil" w:sz="0" w:space="0" w:color="000000" tmln="20, 20, 20, 0, 0"/>
        <w:bottom w:val="nil" w:sz="0" w:space="0" w:color="000000" tmln="20, 20, 20, 0, 0"/>
        <w:right w:val="nil" w:sz="0" w:space="0" w:color="000000" tmln="20, 20, 20, 0, 0"/>
        <w:between w:val="nil" w:sz="0" w:space="0" w:color="000000" tmln="20, 20, 20, 0, 0"/>
      </w:pBdr>
      <w:shd w:val="none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PREFEITURA MUNICIPAL DE SÃO DOMINGOS DO NORTE</w:t>
    </w:r>
  </w:p>
  <w:p>
    <w:pPr>
      <w:spacing/>
      <w:jc w:val="center"/>
      <w:widowControl/>
      <w:pBdr>
        <w:top w:val="nil" w:sz="0" w:space="0" w:color="000000" tmln="20, 20, 20, 0, 0"/>
        <w:left w:val="nil" w:sz="0" w:space="0" w:color="000000" tmln="20, 20, 20, 0, 0"/>
        <w:bottom w:val="nil" w:sz="0" w:space="0" w:color="000000" tmln="20, 20, 20, 0, 0"/>
        <w:right w:val="nil" w:sz="0" w:space="0" w:color="000000" tmln="20, 20, 20, 0, 0"/>
        <w:between w:val="nil" w:sz="0" w:space="0" w:color="000000" tmln="20, 20, 20, 0, 0"/>
      </w:pBdr>
      <w:shd w:val="none"/>
      <w:rPr>
        <w:rFonts w:eastAsia="Times New Roman"/>
        <w:sz w:val="18"/>
        <w:szCs w:val="18"/>
      </w:rPr>
    </w:pPr>
    <w:r>
      <w:rPr>
        <w:rFonts w:eastAsia="Times New Roman"/>
        <w:sz w:val="18"/>
        <w:szCs w:val="18"/>
      </w:rPr>
      <w:t>FUNDO MUNICIPAL DE SAÚDE</w:t>
    </w:r>
  </w:p>
  <w:p>
    <w:pPr>
      <w:spacing/>
      <w:jc w:val="center"/>
      <w:widowControl/>
      <w:pBdr>
        <w:top w:val="nil" w:sz="0" w:space="0" w:color="000000" tmln="20, 20, 20, 0, 0"/>
        <w:left w:val="nil" w:sz="0" w:space="0" w:color="000000" tmln="20, 20, 20, 0, 0"/>
        <w:bottom w:val="nil" w:sz="0" w:space="0" w:color="000000" tmln="20, 20, 20, 0, 0"/>
        <w:right w:val="nil" w:sz="0" w:space="0" w:color="000000" tmln="20, 20, 20, 0, 0"/>
        <w:between w:val="nil" w:sz="0" w:space="0" w:color="000000" tmln="20, 20, 20, 0, 0"/>
      </w:pBdr>
      <w:shd w:val="none"/>
      <w:rPr>
        <w:rFonts w:eastAsia="Times New Roman"/>
        <w:i/>
        <w:iCs/>
        <w:sz w:val="18"/>
        <w:szCs w:val="18"/>
      </w:rPr>
    </w:pPr>
    <w:r>
      <w:rPr>
        <w:rFonts w:eastAsia="Times New Roman"/>
        <w:i/>
        <w:iCs/>
        <w:sz w:val="18"/>
        <w:szCs w:val="18"/>
      </w:rPr>
      <w:t>Rua  Valeriano Pagani – s/n - centro - São Domingos do Norte - ES - CEP 29745-000</w:t>
    </w:r>
  </w:p>
  <w:p>
    <w:pPr>
      <w:spacing/>
      <w:jc w:val="center"/>
      <w:widowControl/>
      <w:pBdr>
        <w:top w:val="nil" w:sz="0" w:space="0" w:color="000000" tmln="20, 20, 20, 0, 0"/>
        <w:left w:val="nil" w:sz="0" w:space="0" w:color="000000" tmln="20, 20, 20, 0, 0"/>
        <w:bottom w:val="nil" w:sz="0" w:space="0" w:color="000000" tmln="20, 20, 20, 0, 0"/>
        <w:right w:val="nil" w:sz="0" w:space="0" w:color="000000" tmln="20, 20, 20, 0, 0"/>
        <w:between w:val="nil" w:sz="0" w:space="0" w:color="000000" tmln="20, 20, 20, 0, 0"/>
      </w:pBdr>
      <w:shd w:val="none"/>
      <w:rPr>
        <w:rFonts w:eastAsia="Times New Roman"/>
        <w:i/>
        <w:iCs/>
        <w:sz w:val="18"/>
        <w:szCs w:val="18"/>
      </w:rPr>
    </w:pPr>
    <w:r>
      <w:rPr>
        <w:rFonts w:eastAsia="Times New Roman"/>
        <w:i/>
        <w:iCs/>
        <w:sz w:val="18"/>
        <w:szCs w:val="18"/>
      </w:rPr>
      <w:t>Tele fax: (027) 3742 1034 – telefone (027) 3742 1066</w:t>
    </w:r>
  </w:p>
  <w:p>
    <w:pPr>
      <w:spacing/>
      <w:jc w:val="center"/>
      <w:widowControl/>
      <w:pBdr>
        <w:top w:val="nil" w:sz="0" w:space="0" w:color="000000" tmln="20, 20, 20, 0, 0"/>
        <w:left w:val="nil" w:sz="0" w:space="0" w:color="000000" tmln="20, 20, 20, 0, 0"/>
        <w:bottom w:val="nil" w:sz="0" w:space="0" w:color="000000" tmln="20, 20, 20, 0, 0"/>
        <w:right w:val="nil" w:sz="0" w:space="0" w:color="000000" tmln="20, 20, 20, 0, 0"/>
        <w:between w:val="nil" w:sz="0" w:space="0" w:color="000000" tmln="20, 20, 20, 0, 0"/>
      </w:pBdr>
      <w:shd w:val="none"/>
      <w:rPr>
        <w:rFonts w:eastAsia="Times New Roman"/>
        <w:i/>
        <w:iCs/>
        <w:sz w:val="18"/>
        <w:szCs w:val="18"/>
      </w:rPr>
    </w:pPr>
    <w:r>
      <w:rPr>
        <w:rFonts w:eastAsia="Times New Roman"/>
        <w:i/>
        <w:iCs/>
        <w:sz w:val="18"/>
        <w:szCs w:val="18"/>
      </w:rPr>
      <w:t>CNPJ 13.953.742/0001-83</w:t>
    </w:r>
  </w:p>
  <w:p>
    <w:pPr>
      <w:spacing/>
      <w:jc w:val="center"/>
      <w:widowControl/>
      <w:pBdr>
        <w:top w:val="nil" w:sz="0" w:space="0" w:color="000000" tmln="20, 20, 20, 0, 0"/>
        <w:left w:val="nil" w:sz="0" w:space="0" w:color="000000" tmln="20, 20, 20, 0, 0"/>
        <w:bottom w:val="nil" w:sz="0" w:space="0" w:color="000000" tmln="20, 20, 20, 0, 0"/>
        <w:right w:val="nil" w:sz="0" w:space="0" w:color="000000" tmln="20, 20, 20, 0, 0"/>
        <w:between w:val="nil" w:sz="0" w:space="0" w:color="000000" tmln="20, 20, 20, 0, 0"/>
      </w:pBdr>
      <w:shd w:val="none"/>
      <w:rPr>
        <w:rStyle w:val="char1"/>
        <w:rFonts w:eastAsia="Times New Roman"/>
        <w:i/>
        <w:iCs/>
        <w:sz w:val="18"/>
        <w:szCs w:val="18"/>
      </w:rPr>
    </w:pPr>
    <w:hyperlink r:id="rId2" w:history="1">
      <w:r>
        <w:rPr>
          <w:rStyle w:val="char1"/>
          <w:rFonts w:eastAsia="Times New Roman"/>
          <w:i/>
          <w:iCs/>
          <w:sz w:val="18"/>
          <w:szCs w:val="18"/>
        </w:rPr>
        <w:t>saudesdn@yahoo.com.br</w: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1"/>
  <w:doNotShadeFormData w:val="1"/>
  <w:captions>
    <w:caption w:name="Tabela" w:pos="below" w:numFmt="decimal"/>
    <w:caption w:name="Figura" w:pos="below" w:numFmt="decimal"/>
    <w:caption w:name="Imagem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>
    <w:doNotUseHTMLParagraphAutoSpacing w:val="1"/>
  </w:compat>
  <w:compatSetting w:name="compatibilityMode" w:uri="http://schemas.microsoft.com/office/word" w:val="15"/>
  <w:shapeDefaults>
    <o:shapedefaults v:ext="edit" spidmax="2049"/>
    <o:shapelayout v:ext="edit">
      <o:rules v:ext="edit"/>
    </o:shapelayout>
  </w:shapeDefaults>
  <w:tmPrefOne w:val="16"/>
  <w:tmPrefTwo w:val="1"/>
  <w:tmFmtPref w:val="54538251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2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7"/>
      <w:tmLastPosIdx w:val="173"/>
    </w:tmLastPosCaret>
    <w:tmLastPosAnchor>
      <w:tmLastPosPgfIdx w:val="0"/>
      <w:tmLastPosIdx w:val="0"/>
    </w:tmLastPosAnchor>
    <w:tmLastPosTblRect w:left="0" w:top="0" w:right="0" w:bottom="0"/>
  </w:tmLastPos>
  <w:tmAppRevision w:date="1579709600" w:val="971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SimSun" w:cs="Times New Roman"/>
        <w:kern w:val="1"/>
        <w:sz w:val="20"/>
        <w:szCs w:val="20"/>
        <w:lang w:val="pt-br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1072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1073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1074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1075"/>
  </w:style>
  <w:style w:type="paragraph" w:styleId="para4">
    <w:name w:val="Header"/>
    <w:qFormat/>
    <w:basedOn w:val="para0"/>
    <w:pPr>
      <w:tabs defTabSz="708">
        <w:tab w:val="center" w:pos="4819" w:leader="none"/>
        <w:tab w:val="right" w:pos="9639" w:leader="none"/>
      </w:tabs>
    </w:pPr>
  </w:style>
  <w:style w:type="character" w:styleId="char0" w:default="1">
    <w:name w:val="Default Paragraph Font"/>
  </w:style>
  <w:style w:type="character" w:styleId="char1">
    <w:name w:val="Hyperlink"/>
    <w:rPr>
      <w:color w:val="0000ff"/>
      <w:u w:color="auto" w:val="single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hAnsi="Times New Roman" w:eastAsia="SimSun" w:cs="Times New Roman"/>
        <w:kern w:val="1"/>
        <w:sz w:val="20"/>
        <w:szCs w:val="20"/>
        <w:lang w:val="pt-br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1072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1073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1074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1075"/>
  </w:style>
  <w:style w:type="paragraph" w:styleId="para4">
    <w:name w:val="Header"/>
    <w:qFormat/>
    <w:basedOn w:val="para0"/>
    <w:pPr>
      <w:tabs defTabSz="708">
        <w:tab w:val="center" w:pos="4819" w:leader="none"/>
        <w:tab w:val="right" w:pos="9639" w:leader="none"/>
      </w:tabs>
    </w:pPr>
  </w:style>
  <w:style w:type="character" w:styleId="char0" w:default="1">
    <w:name w:val="Default Paragraph Font"/>
  </w:style>
  <w:style w:type="character" w:styleId="char1">
    <w:name w:val="Hyperlink"/>
    <w:rPr>
      <w:color w:val="0000ff"/>
      <w:u w:color="auto" w:val="single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header" Target="header1.xml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mailto:saudesdn@yahoo.com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rev.971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2</cp:revision>
  <cp:lastPrinted>2020-01-22T16:13:34Z</cp:lastPrinted>
  <dcterms:created xsi:type="dcterms:W3CDTF">2020-01-08T16:32:22Z</dcterms:created>
  <dcterms:modified xsi:type="dcterms:W3CDTF">2020-01-22T16:13:20Z</dcterms:modified>
</cp:coreProperties>
</file>