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rPr>
          <w:b w:val="0"/>
          <w:color w:val="000000"/>
          <w:spacing w:val="-3"/>
          <w:sz w:val="22"/>
          <w:szCs w:val="22"/>
        </w:rPr>
      </w:pPr>
      <w:r>
        <w:rPr>
          <w:b w:val="0"/>
          <w:color w:val="000000"/>
          <w:spacing w:val="-3"/>
          <w:sz w:val="22"/>
          <w:szCs w:val="22"/>
        </w:rPr>
      </w:r>
    </w:p>
    <w:p>
      <w:pPr>
        <w:pStyle w:val="para1"/>
        <w:spacing w:before="0"/>
        <w:rPr>
          <w:b w:val="0"/>
          <w:color w:val="000000"/>
          <w:spacing w:val="-3"/>
          <w:sz w:val="22"/>
          <w:szCs w:val="22"/>
        </w:rPr>
      </w:pPr>
      <w:r>
        <w:rPr>
          <w:b w:val="0"/>
          <w:color w:val="000000"/>
          <w:spacing w:val="-3"/>
          <w:sz w:val="22"/>
          <w:szCs w:val="22"/>
        </w:rPr>
      </w:r>
    </w:p>
    <w:p>
      <w:pPr>
        <w:pStyle w:val="para1"/>
        <w:spacing w:before="0"/>
        <w:rPr>
          <w:b w:val="0"/>
          <w:color w:val="000000"/>
          <w:spacing w:val="-3"/>
          <w:sz w:val="22"/>
          <w:szCs w:val="22"/>
        </w:rPr>
      </w:pPr>
      <w:r>
        <w:rPr>
          <w:b w:val="0"/>
          <w:color w:val="000000"/>
          <w:spacing w:val="-3"/>
          <w:sz w:val="22"/>
          <w:szCs w:val="22"/>
        </w:rPr>
      </w:r>
    </w:p>
    <w:p>
      <w:pPr>
        <w:pStyle w:val="para1"/>
        <w:spacing w:before="0"/>
        <w:rPr>
          <w:b w:val="0"/>
          <w:color w:val="000000"/>
          <w:spacing w:val="-3"/>
          <w:sz w:val="22"/>
          <w:szCs w:val="22"/>
        </w:rPr>
      </w:pPr>
      <w:r>
        <w:rPr>
          <w:b w:val="0"/>
          <w:color w:val="000000"/>
          <w:spacing w:val="-3"/>
          <w:sz w:val="22"/>
          <w:szCs w:val="22"/>
        </w:rPr>
        <w:t>COMISSÃO PERMANENTE DE PREGÃO – CPP/PMSDN</w:t>
      </w:r>
    </w:p>
    <w:p>
      <w:pPr>
        <w:spacing w:before="0"/>
        <w:jc w:val="both"/>
        <w:rPr>
          <w:color w:val="000000"/>
          <w:sz w:val="22"/>
          <w:szCs w:val="22"/>
        </w:rPr>
      </w:pPr>
      <w:r>
        <w:rPr>
          <w:color w:val="000000"/>
          <w:sz w:val="22"/>
          <w:szCs w:val="22"/>
        </w:rPr>
      </w:r>
    </w:p>
    <w:p>
      <w:pPr>
        <w:pStyle w:val="para5"/>
        <w:spacing w:before="0"/>
        <w:rPr>
          <w:b/>
          <w:color w:val="000000"/>
          <w:spacing w:val="-3"/>
          <w:sz w:val="22"/>
          <w:szCs w:val="22"/>
        </w:rPr>
      </w:pPr>
      <w:r>
        <w:rPr>
          <w:b/>
          <w:color w:val="000000"/>
          <w:spacing w:val="-3"/>
          <w:sz w:val="22"/>
          <w:szCs w:val="22"/>
        </w:rPr>
        <w:t>PREGÃO PRESENCIAL 11/2020 - SRP  - REABERTURA</w:t>
      </w:r>
    </w:p>
    <w:p>
      <w:pPr>
        <w:spacing w:before="0"/>
        <w:jc w:val="both"/>
        <w:rPr>
          <w:color w:val="000000"/>
          <w:spacing w:val="-3"/>
          <w:sz w:val="22"/>
          <w:szCs w:val="22"/>
        </w:rPr>
      </w:pPr>
      <w:r>
        <w:rPr>
          <w:color w:val="000000"/>
          <w:spacing w:val="-3"/>
          <w:sz w:val="22"/>
          <w:szCs w:val="22"/>
        </w:rPr>
      </w:r>
    </w:p>
    <w:p>
      <w:pPr>
        <w:pStyle w:val="para3"/>
        <w:ind w:left="0"/>
        <w:spacing w:before="0"/>
        <w:rPr>
          <w:color w:val="000000"/>
          <w:spacing w:val="-3"/>
          <w:sz w:val="22"/>
          <w:szCs w:val="22"/>
        </w:rPr>
      </w:pPr>
      <w:r>
        <w:rPr>
          <w:color w:val="000000"/>
          <w:spacing w:val="-3"/>
          <w:sz w:val="22"/>
          <w:szCs w:val="22"/>
        </w:rPr>
        <w:t>RECIBO</w:t>
      </w:r>
    </w:p>
    <w:p>
      <w:pPr>
        <w:spacing w:before="0"/>
        <w:jc w:val="both"/>
        <w:rPr>
          <w:color w:val="000000"/>
          <w:spacing w:val="-3"/>
          <w:sz w:val="22"/>
          <w:szCs w:val="22"/>
        </w:rPr>
      </w:pPr>
      <w:r>
        <w:rPr>
          <w:color w:val="000000"/>
          <w:spacing w:val="-3"/>
          <w:sz w:val="22"/>
          <w:szCs w:val="22"/>
        </w:rPr>
      </w:r>
    </w:p>
    <w:p>
      <w:pPr>
        <w:pStyle w:val="para17"/>
        <w:ind w:firstLine="0"/>
        <w:spacing w:before="0" w:line="240" w:lineRule="auto"/>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modalidade PREGÃO PRESENCIAL Nº </w:t>
      </w:r>
      <w:r>
        <w:rPr>
          <w:b/>
          <w:color w:val="000000"/>
          <w:spacing w:val="-3"/>
          <w:szCs w:val="22"/>
        </w:rPr>
        <w:t>11/2020</w:t>
      </w:r>
      <w:r>
        <w:rPr>
          <w:color w:val="000000"/>
          <w:spacing w:val="-3"/>
          <w:szCs w:val="22"/>
        </w:rPr>
        <w:t xml:space="preserve"> - SRP, para abertura às </w:t>
      </w:r>
      <w:r>
        <w:rPr>
          <w:b/>
          <w:color w:val="000000"/>
          <w:spacing w:val="-3"/>
          <w:szCs w:val="22"/>
        </w:rPr>
        <w:t>9</w:t>
      </w:r>
      <w:r>
        <w:rPr>
          <w:b/>
          <w:color w:val="000000"/>
          <w:spacing w:val="-3"/>
          <w:szCs w:val="22"/>
        </w:rPr>
        <w:t>h</w:t>
      </w:r>
      <w:r>
        <w:rPr>
          <w:b/>
          <w:color w:val="000000"/>
          <w:spacing w:val="-3"/>
          <w:szCs w:val="22"/>
        </w:rPr>
        <w:t xml:space="preserve"> do dia</w:t>
      </w:r>
      <w:r>
        <w:rPr>
          <w:b/>
          <w:color w:val="000000"/>
          <w:spacing w:val="-3"/>
          <w:szCs w:val="22"/>
        </w:rPr>
        <w:t xml:space="preserve"> 23 de abril de </w:t>
      </w:r>
      <w:r>
        <w:rPr>
          <w:b/>
          <w:color w:val="000000"/>
          <w:spacing w:val="-3"/>
          <w:szCs w:val="22"/>
        </w:rPr>
        <w:t>20</w:t>
      </w:r>
      <w:r>
        <w:rPr>
          <w:b/>
          <w:color w:val="000000"/>
          <w:spacing w:val="-3"/>
          <w:szCs w:val="22"/>
        </w:rPr>
        <w:t>20.</w:t>
      </w:r>
      <w:r>
        <w:rPr>
          <w:b/>
          <w:color w:val="000000"/>
          <w:spacing w:val="-3"/>
          <w:szCs w:val="22"/>
        </w:rPr>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r>
    </w:p>
    <w:p>
      <w:pPr>
        <w:pStyle w:val="para4"/>
        <w:ind w:left="0"/>
        <w:spacing w:before="0"/>
        <w:rPr>
          <w:color w:val="000000"/>
          <w:spacing w:val="-3"/>
          <w:sz w:val="22"/>
          <w:szCs w:val="22"/>
        </w:rPr>
      </w:pPr>
      <w:r>
        <w:rPr>
          <w:color w:val="000000"/>
          <w:spacing w:val="-3"/>
          <w:sz w:val="22"/>
          <w:szCs w:val="22"/>
        </w:rPr>
        <w:t>São Domingos do Norte/ES......../.........../..........</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E-MAIL</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TELEFONE/FAX</w:t>
      </w:r>
    </w:p>
    <w:p>
      <w:pPr>
        <w:spacing w:before="0"/>
        <w:jc w:val="both"/>
        <w:rPr>
          <w:color w:val="000000"/>
          <w:spacing w:val="-3"/>
          <w:sz w:val="22"/>
          <w:szCs w:val="22"/>
        </w:rPr>
      </w:pPr>
      <w:r>
        <w:rPr>
          <w:color w:val="000000"/>
          <w:spacing w:val="-3"/>
          <w:sz w:val="22"/>
          <w:szCs w:val="22"/>
        </w:rPr>
      </w:r>
    </w:p>
    <w:p>
      <w:pPr>
        <w:spacing w:before="0"/>
        <w:jc w:val="both"/>
        <w:rPr>
          <w:color w:val="000000"/>
          <w:spacing w:val="-3"/>
          <w:sz w:val="22"/>
          <w:szCs w:val="22"/>
        </w:rPr>
      </w:pPr>
      <w:r>
        <w:rPr>
          <w:color w:val="000000"/>
          <w:spacing w:val="-3"/>
          <w:sz w:val="22"/>
          <w:szCs w:val="22"/>
        </w:rPr>
        <w:t>.............................................................................................</w:t>
      </w:r>
    </w:p>
    <w:p>
      <w:pPr>
        <w:pStyle w:val="para4"/>
        <w:ind w:left="0"/>
        <w:spacing w:before="0"/>
        <w:rPr>
          <w:color w:val="000000"/>
          <w:spacing w:val="-3"/>
          <w:sz w:val="22"/>
          <w:szCs w:val="22"/>
        </w:rPr>
      </w:pPr>
      <w:r>
        <w:rPr>
          <w:color w:val="000000"/>
          <w:spacing w:val="-3"/>
          <w:sz w:val="22"/>
          <w:szCs w:val="22"/>
        </w:rPr>
        <w:t xml:space="preserve">ASSINATURA </w:t>
      </w:r>
    </w:p>
    <w:p>
      <w:pPr>
        <w:spacing w:before="0"/>
        <w:jc w:val="both"/>
        <w:rPr>
          <w:color w:val="000000"/>
          <w:sz w:val="22"/>
          <w:szCs w:val="22"/>
        </w:rPr>
      </w:pPr>
      <w:r>
        <w:rPr>
          <w:color w:val="000000"/>
          <w:sz w:val="22"/>
          <w:szCs w:val="22"/>
        </w:rPr>
      </w:r>
    </w:p>
    <w:p>
      <w:pPr>
        <w:pStyle w:val="para4"/>
        <w:ind w:left="0"/>
        <w:spacing w:before="0"/>
        <w:rPr>
          <w:color w:val="000000"/>
          <w:spacing w:val="-3"/>
          <w:sz w:val="22"/>
          <w:szCs w:val="22"/>
        </w:rPr>
      </w:pPr>
      <w:r>
        <w:rPr>
          <w:color w:val="000000"/>
          <w:spacing w:val="-3"/>
          <w:sz w:val="22"/>
          <w:szCs w:val="22"/>
        </w:rPr>
      </w:r>
    </w:p>
    <w:p>
      <w:pPr>
        <w:pStyle w:val="para4"/>
        <w:ind w:left="0"/>
        <w:spacing w:before="0"/>
        <w:rPr>
          <w:color w:val="000000"/>
          <w:spacing w:val="-3"/>
          <w:sz w:val="22"/>
          <w:szCs w:val="22"/>
        </w:rPr>
      </w:pPr>
      <w:r>
        <w:rPr>
          <w:color w:val="000000"/>
          <w:spacing w:val="-3"/>
          <w:sz w:val="22"/>
          <w:szCs w:val="22"/>
        </w:rPr>
        <w:t>NOME DA EMPRESA E CARIMBO DE CNPJ</w:t>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pStyle w:val="para32"/>
        <w:spacing w:before="0" w:after="0"/>
        <w:rPr>
          <w:i w:val="0"/>
          <w:color w:val="000000"/>
          <w:sz w:val="22"/>
          <w:szCs w:val="22"/>
        </w:rPr>
      </w:pPr>
      <w:r>
        <w:rPr>
          <w:i w:val="0"/>
          <w:color w:val="000000"/>
          <w:sz w:val="22"/>
          <w:szCs w:val="22"/>
        </w:rPr>
      </w:r>
    </w:p>
    <w:p>
      <w:pPr>
        <w:pStyle w:val="para32"/>
        <w:spacing w:before="0" w:after="0"/>
        <w:rPr>
          <w:i w:val="0"/>
          <w:color w:val="000000"/>
          <w:sz w:val="22"/>
          <w:szCs w:val="22"/>
        </w:rPr>
      </w:pPr>
      <w:r>
        <w:rPr>
          <w:i w:val="0"/>
          <w:color w:val="000000"/>
          <w:sz w:val="22"/>
          <w:szCs w:val="22"/>
        </w:rPr>
      </w:r>
    </w:p>
    <w:p>
      <w:pPr>
        <w:pStyle w:val="para32"/>
        <w:spacing w:before="0" w:after="0"/>
        <w:rPr>
          <w:i w:val="0"/>
          <w:color w:val="000000"/>
          <w:sz w:val="22"/>
          <w:szCs w:val="22"/>
        </w:rPr>
      </w:pPr>
      <w:r>
        <w:rPr>
          <w:i w:val="0"/>
          <w:color w:val="000000"/>
          <w:sz w:val="22"/>
          <w:szCs w:val="22"/>
        </w:rPr>
        <w:t>EDITAL DE REABERTURA - PREGÃO PRESENCIAL N</w:t>
      </w:r>
      <w:r>
        <w:rPr>
          <w:i w:val="0"/>
          <w:color w:val="000000"/>
          <w:sz w:val="22"/>
          <w:szCs w:val="22"/>
          <w:u w:color="auto" w:val="single"/>
          <w:vertAlign w:val="superscript"/>
        </w:rPr>
        <w:t>o</w:t>
      </w:r>
      <w:r>
        <w:rPr>
          <w:i w:val="0"/>
          <w:color w:val="000000"/>
          <w:sz w:val="22"/>
          <w:szCs w:val="22"/>
        </w:rPr>
        <w:t xml:space="preserve"> 11/2020 - SRP - EXCLUSIVA ME/EPP</w:t>
      </w:r>
    </w:p>
    <w:p>
      <w:pPr>
        <w:pStyle w:val="para32"/>
        <w:spacing w:before="0" w:after="0"/>
        <w:rPr>
          <w:i w:val="0"/>
          <w:color w:val="000000"/>
          <w:sz w:val="22"/>
          <w:szCs w:val="22"/>
        </w:rPr>
      </w:pPr>
      <w:r>
        <w:rPr>
          <w:i w:val="0"/>
          <w:color w:val="000000"/>
          <w:sz w:val="22"/>
          <w:szCs w:val="22"/>
        </w:rPr>
      </w:r>
    </w:p>
    <w:p>
      <w:pPr>
        <w:spacing w:before="0"/>
        <w:jc w:val="both"/>
        <w:rPr>
          <w:color w:val="000000"/>
          <w:sz w:val="22"/>
          <w:szCs w:val="22"/>
        </w:rPr>
      </w:pPr>
      <w:r>
        <w:rPr>
          <w:sz w:val="22"/>
          <w:szCs w:val="22"/>
        </w:rPr>
        <w:t>A Prefeitura Municipal de São Domingos do Norte, Estado do Espírito Santo, pessoa Jurídica de Direito Público Interno, sediado na Rod. Gether Lopes de Farias, s/nº - São Domingos do Norte/ES, inscrito no Cadastro Nacional de Pessoa Jurídica sob o Nº 36.350.312/0001-72 por meio do Gabinete do Prefeito</w:t>
      </w:r>
      <w:r>
        <w:rPr>
          <w:color w:val="000000"/>
          <w:sz w:val="22"/>
          <w:szCs w:val="22"/>
        </w:rPr>
        <w:t>, torna público para conhecimento dos interessados, que realizará licitação na modalidade "Pregão Presencial</w:t>
      </w:r>
      <w:r>
        <w:rPr>
          <w:color w:val="000000"/>
          <w:sz w:val="22"/>
          <w:szCs w:val="22"/>
        </w:rPr>
        <w:t>", do tipo “menor preço por lote</w:t>
      </w:r>
      <w:r>
        <w:rPr>
          <w:color w:val="000000"/>
          <w:sz w:val="22"/>
          <w:szCs w:val="22"/>
        </w:rPr>
        <w:t xml:space="preserve">”, para </w:t>
      </w:r>
      <w:r>
        <w:rPr>
          <w:b/>
          <w:bCs/>
          <w:sz w:val="22"/>
          <w:szCs w:val="22"/>
        </w:rPr>
        <w:t>AQUISIÇÃO DE MATERIAL DE CONSUMO (GÊNEROS ALIMENTÍCIOS)</w:t>
      </w:r>
      <w:r>
        <w:rPr>
          <w:color w:val="000000"/>
          <w:sz w:val="22"/>
          <w:szCs w:val="22"/>
        </w:rPr>
        <w:t>,</w:t>
      </w:r>
      <w:r>
        <w:rPr>
          <w:color w:val="000000"/>
          <w:sz w:val="22"/>
          <w:szCs w:val="22"/>
        </w:rPr>
        <w:t xml:space="preserve"> </w:t>
      </w:r>
      <w:r>
        <w:rPr>
          <w:color w:val="000000"/>
          <w:sz w:val="22"/>
          <w:szCs w:val="22"/>
        </w:rPr>
        <w:t>conforme Processos n</w:t>
      </w:r>
      <w:r>
        <w:rPr>
          <w:color w:val="000000"/>
          <w:sz w:val="22"/>
          <w:szCs w:val="22"/>
          <w:u w:color="auto" w:val="single"/>
          <w:vertAlign w:val="superscript"/>
        </w:rPr>
        <w:t>o</w:t>
      </w:r>
      <w:r>
        <w:rPr>
          <w:color w:val="000000"/>
          <w:sz w:val="22"/>
          <w:szCs w:val="22"/>
        </w:rPr>
        <w:t xml:space="preserve"> 638/2020 e 863/2020,</w:t>
      </w:r>
      <w:r>
        <w:rPr>
          <w:color w:val="000000"/>
          <w:sz w:val="22"/>
          <w:szCs w:val="22"/>
        </w:rPr>
        <w:t xml:space="preserve"> devidamente aprovado pela autoridade compete</w:t>
      </w:r>
      <w:r>
        <w:rPr>
          <w:color w:val="000000"/>
          <w:sz w:val="22"/>
          <w:szCs w:val="22"/>
        </w:rPr>
        <w:t>nte. O Pregão será realizado pel</w:t>
      </w:r>
      <w:r>
        <w:rPr>
          <w:color w:val="000000"/>
          <w:sz w:val="22"/>
          <w:szCs w:val="22"/>
        </w:rPr>
        <w:t>o pregoeiro</w:t>
      </w:r>
      <w:r>
        <w:rPr>
          <w:color w:val="000000"/>
          <w:sz w:val="22"/>
          <w:szCs w:val="22"/>
        </w:rPr>
        <w:t xml:space="preserve"> e Equipe de Apoio, designados pela Portaria N</w:t>
      </w:r>
      <w:r>
        <w:rPr>
          <w:color w:val="000000"/>
          <w:sz w:val="22"/>
          <w:szCs w:val="22"/>
          <w:u w:color="auto" w:val="single"/>
          <w:vertAlign w:val="superscript"/>
        </w:rPr>
        <w:t>o</w:t>
      </w:r>
      <w:r>
        <w:rPr>
          <w:color w:val="000000"/>
          <w:sz w:val="22"/>
          <w:szCs w:val="22"/>
        </w:rPr>
        <w:t xml:space="preserve"> </w:t>
      </w:r>
      <w:r>
        <w:rPr>
          <w:color w:val="000000"/>
          <w:sz w:val="22"/>
          <w:szCs w:val="22"/>
        </w:rPr>
        <w:t>7.</w:t>
      </w:r>
      <w:r>
        <w:rPr>
          <w:color w:val="000000"/>
          <w:sz w:val="22"/>
          <w:szCs w:val="22"/>
        </w:rPr>
        <w:t>735,</w:t>
      </w:r>
      <w:r>
        <w:rPr>
          <w:color w:val="000000"/>
          <w:sz w:val="22"/>
          <w:szCs w:val="22"/>
        </w:rPr>
        <w:t xml:space="preserve"> </w:t>
      </w:r>
      <w:r>
        <w:rPr>
          <w:color w:val="000000"/>
          <w:sz w:val="22"/>
          <w:szCs w:val="22"/>
        </w:rPr>
        <w:t>de 03/02/2020, publ</w:t>
      </w:r>
      <w:r>
        <w:rPr>
          <w:color w:val="000000"/>
          <w:sz w:val="22"/>
          <w:szCs w:val="22"/>
        </w:rPr>
        <w:t>icada em 04/02/2020, e regido pela Lei n</w:t>
      </w:r>
      <w:r>
        <w:rPr>
          <w:color w:val="000000"/>
          <w:sz w:val="22"/>
          <w:szCs w:val="22"/>
          <w:u w:color="auto"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8.666/93</w:t>
      </w:r>
      <w:r>
        <w:rPr>
          <w:color w:val="000000"/>
          <w:sz w:val="22"/>
          <w:szCs w:val="22"/>
        </w:rPr>
        <w:t>,</w:t>
      </w:r>
      <w:r>
        <w:rPr>
          <w:color w:val="000000"/>
          <w:sz w:val="22"/>
          <w:szCs w:val="22"/>
        </w:rPr>
        <w:t xml:space="preserve"> LC 123/2006,</w:t>
      </w:r>
      <w:r>
        <w:rPr>
          <w:color w:val="000000"/>
          <w:sz w:val="22"/>
          <w:szCs w:val="22"/>
        </w:rPr>
        <w:t xml:space="preserve"> </w:t>
      </w:r>
      <w:r>
        <w:rPr>
          <w:color w:val="000000"/>
          <w:sz w:val="22"/>
          <w:szCs w:val="22"/>
        </w:rPr>
        <w:t xml:space="preserve">Decreto Federal </w:t>
      </w:r>
      <w:r>
        <w:rPr>
          <w:color w:val="000000"/>
          <w:sz w:val="22"/>
          <w:szCs w:val="22"/>
        </w:rPr>
        <w:t>9.488/2018</w:t>
      </w:r>
      <w:r>
        <w:rPr>
          <w:color w:val="000000"/>
          <w:sz w:val="22"/>
          <w:szCs w:val="22"/>
        </w:rPr>
        <w:t xml:space="preserve"> e Decreto Municipal </w:t>
      </w:r>
      <w:r>
        <w:rPr>
          <w:color w:val="000000"/>
          <w:sz w:val="22"/>
          <w:szCs w:val="22"/>
        </w:rPr>
        <w:t>1.663</w:t>
      </w:r>
      <w:r>
        <w:rPr>
          <w:color w:val="000000"/>
          <w:sz w:val="22"/>
          <w:szCs w:val="22"/>
        </w:rPr>
        <w:t xml:space="preserve"> de </w:t>
      </w:r>
      <w:r>
        <w:rPr>
          <w:color w:val="000000"/>
          <w:sz w:val="22"/>
          <w:szCs w:val="22"/>
        </w:rPr>
        <w:t>11/06/2019</w:t>
      </w:r>
      <w:r>
        <w:rPr>
          <w:color w:val="000000"/>
          <w:sz w:val="22"/>
          <w:szCs w:val="22"/>
        </w:rPr>
        <w:t xml:space="preserve"> </w:t>
      </w:r>
      <w:r>
        <w:rPr>
          <w:color w:val="000000"/>
          <w:sz w:val="22"/>
          <w:szCs w:val="22"/>
        </w:rPr>
        <w:t>bem como pelas demais normas pertinentes e condições estabelecidas no presente Edital.</w:t>
      </w:r>
      <w:r>
        <w:rPr>
          <w:color w:val="000000"/>
          <w:sz w:val="22"/>
          <w:szCs w:val="22"/>
        </w:rPr>
      </w:r>
    </w:p>
    <w:p>
      <w:pPr>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u w:color="auto" w:val="single"/>
        </w:rPr>
      </w:pPr>
      <w:r>
        <w:rPr>
          <w:b/>
          <w:bCs/>
          <w:color w:val="000000"/>
          <w:sz w:val="22"/>
          <w:szCs w:val="22"/>
          <w:u w:color="auto" w:val="single"/>
        </w:rPr>
        <w:t>1 - DISPOSIÇÃO PRELIMINAR</w:t>
      </w:r>
    </w:p>
    <w:p>
      <w:pPr>
        <w:spacing w:before="0"/>
        <w:jc w:val="both"/>
        <w:rPr>
          <w:color w:val="000000"/>
          <w:sz w:val="22"/>
          <w:szCs w:val="22"/>
        </w:rPr>
      </w:pPr>
      <w:r>
        <w:rPr>
          <w:color w:val="000000"/>
          <w:sz w:val="22"/>
          <w:szCs w:val="22"/>
        </w:rPr>
        <w:t>1.1. O Pregão Presencial será realizado em sessão pública, em todas as suas fases.</w:t>
      </w:r>
    </w:p>
    <w:p>
      <w:pPr>
        <w:spacing w:before="0"/>
        <w:jc w:val="both"/>
        <w:rPr>
          <w:color w:val="000000"/>
          <w:sz w:val="22"/>
          <w:szCs w:val="22"/>
        </w:rPr>
      </w:pPr>
      <w:r>
        <w:rPr>
          <w:color w:val="000000"/>
          <w:sz w:val="22"/>
          <w:szCs w:val="22"/>
        </w:rPr>
        <w:t>1.2. Os trabalhos serão conduzidos por servidor do órgão promotor do certame, denominado pregoeiro.</w:t>
      </w:r>
    </w:p>
    <w:p>
      <w:pPr>
        <w:spacing w:before="0"/>
        <w:jc w:val="both"/>
        <w:rPr>
          <w:b/>
          <w:color w:val="000000"/>
          <w:sz w:val="22"/>
          <w:szCs w:val="22"/>
        </w:rPr>
      </w:pPr>
      <w:r>
        <w:rPr>
          <w:color w:val="000000"/>
          <w:sz w:val="22"/>
          <w:szCs w:val="22"/>
        </w:rPr>
        <w:t xml:space="preserve">1.3. </w:t>
      </w:r>
      <w:r>
        <w:rPr>
          <w:b/>
          <w:color w:val="000000"/>
          <w:sz w:val="22"/>
          <w:szCs w:val="22"/>
        </w:rPr>
        <w:t>DATA E HORÁRIO DA ENTREGA DAS PROPOSTAS</w:t>
      </w:r>
      <w:r>
        <w:rPr>
          <w:b/>
          <w:color w:val="000000"/>
          <w:sz w:val="22"/>
          <w:szCs w:val="22"/>
        </w:rPr>
        <w:t xml:space="preserve"> NO PROTOCOLO</w:t>
      </w:r>
      <w:r>
        <w:rPr>
          <w:color w:val="000000"/>
          <w:sz w:val="22"/>
          <w:szCs w:val="22"/>
        </w:rPr>
        <w:t xml:space="preserve">: até 8h do dia </w:t>
      </w:r>
      <w:r>
        <w:rPr>
          <w:b/>
          <w:color w:val="000000"/>
          <w:sz w:val="22"/>
          <w:szCs w:val="22"/>
        </w:rPr>
        <w:t>0</w:t>
      </w:r>
      <w:r>
        <w:rPr>
          <w:b/>
          <w:color w:val="000000"/>
          <w:sz w:val="22"/>
          <w:szCs w:val="22"/>
        </w:rPr>
        <w:t>23/04/2020</w:t>
      </w:r>
      <w:r>
        <w:rPr>
          <w:b/>
          <w:color w:val="000000"/>
          <w:sz w:val="22"/>
          <w:szCs w:val="22"/>
        </w:rPr>
        <w:t>.</w:t>
      </w:r>
      <w:r>
        <w:rPr>
          <w:b/>
          <w:color w:val="000000"/>
          <w:sz w:val="22"/>
          <w:szCs w:val="22"/>
        </w:rPr>
      </w:r>
    </w:p>
    <w:p>
      <w:pPr>
        <w:spacing w:before="0"/>
        <w:jc w:val="both"/>
        <w:rPr>
          <w:b/>
          <w:color w:val="000000"/>
          <w:sz w:val="22"/>
          <w:szCs w:val="22"/>
        </w:rPr>
      </w:pPr>
      <w:r>
        <w:rPr>
          <w:color w:val="000000"/>
          <w:sz w:val="22"/>
          <w:szCs w:val="22"/>
        </w:rPr>
        <w:t xml:space="preserve">1.4. </w:t>
      </w:r>
      <w:r>
        <w:rPr>
          <w:b/>
          <w:color w:val="000000"/>
          <w:sz w:val="22"/>
          <w:szCs w:val="22"/>
        </w:rPr>
        <w:t xml:space="preserve">DATA E HORÁRIO </w:t>
      </w:r>
      <w:r>
        <w:rPr>
          <w:b/>
          <w:color w:val="000000"/>
          <w:sz w:val="22"/>
          <w:szCs w:val="22"/>
        </w:rPr>
        <w:t>DO CREDENCIAMENTO</w:t>
      </w:r>
      <w:r>
        <w:rPr>
          <w:color w:val="000000"/>
          <w:sz w:val="22"/>
          <w:szCs w:val="22"/>
        </w:rPr>
        <w:t>: até às 8h30 do dia</w:t>
      </w:r>
      <w:r>
        <w:rPr>
          <w:b/>
          <w:color w:val="000000"/>
          <w:sz w:val="22"/>
          <w:szCs w:val="22"/>
        </w:rPr>
        <w:t xml:space="preserve"> 23/04/20</w:t>
      </w:r>
      <w:r>
        <w:rPr>
          <w:b/>
          <w:color w:val="000000"/>
          <w:sz w:val="22"/>
          <w:szCs w:val="22"/>
        </w:rPr>
        <w:t>20.</w:t>
      </w:r>
      <w:r>
        <w:rPr>
          <w:b/>
          <w:color w:val="000000"/>
          <w:sz w:val="22"/>
          <w:szCs w:val="22"/>
        </w:rPr>
      </w:r>
    </w:p>
    <w:p>
      <w:pPr>
        <w:spacing w:before="0"/>
        <w:jc w:val="both"/>
        <w:rPr>
          <w:b/>
          <w:color w:val="000000"/>
          <w:sz w:val="22"/>
          <w:szCs w:val="22"/>
        </w:rPr>
      </w:pPr>
      <w:r>
        <w:rPr>
          <w:color w:val="000000"/>
          <w:sz w:val="22"/>
          <w:szCs w:val="22"/>
        </w:rPr>
        <w:t xml:space="preserve">1.5. </w:t>
      </w:r>
      <w:r>
        <w:rPr>
          <w:b/>
          <w:color w:val="000000"/>
          <w:sz w:val="22"/>
          <w:szCs w:val="22"/>
        </w:rPr>
        <w:t>DATA E HORÁRIO DE ABERTURA D</w:t>
      </w:r>
      <w:r>
        <w:rPr>
          <w:b/>
          <w:color w:val="000000"/>
          <w:sz w:val="22"/>
          <w:szCs w:val="22"/>
        </w:rPr>
        <w:t>A SESSÃO PÚBLICA</w:t>
      </w:r>
      <w:r>
        <w:rPr>
          <w:color w:val="000000"/>
          <w:sz w:val="22"/>
          <w:szCs w:val="22"/>
        </w:rPr>
        <w:t xml:space="preserve">: às 9h </w:t>
      </w:r>
      <w:r>
        <w:rPr>
          <w:b/>
          <w:color w:val="000000"/>
          <w:sz w:val="22"/>
          <w:szCs w:val="22"/>
        </w:rPr>
        <w:t>do</w:t>
      </w:r>
      <w:r>
        <w:rPr>
          <w:b/>
          <w:color w:val="000000"/>
          <w:sz w:val="22"/>
          <w:szCs w:val="22"/>
        </w:rPr>
        <w:t xml:space="preserve"> 23/04/</w:t>
      </w:r>
      <w:r>
        <w:rPr>
          <w:b/>
          <w:color w:val="000000"/>
          <w:sz w:val="22"/>
          <w:szCs w:val="22"/>
        </w:rPr>
        <w:t>20</w:t>
      </w:r>
      <w:r>
        <w:rPr>
          <w:b/>
          <w:color w:val="000000"/>
          <w:sz w:val="22"/>
          <w:szCs w:val="22"/>
        </w:rPr>
        <w:t>20.</w:t>
      </w:r>
      <w:r>
        <w:rPr>
          <w:b/>
          <w:color w:val="000000"/>
          <w:sz w:val="22"/>
          <w:szCs w:val="22"/>
        </w:rPr>
      </w:r>
    </w:p>
    <w:p>
      <w:pPr>
        <w:spacing w:before="0"/>
        <w:jc w:val="both"/>
        <w:rPr>
          <w:rFonts w:eastAsia="Batang"/>
          <w:color w:val="000000"/>
          <w:sz w:val="22"/>
          <w:szCs w:val="22"/>
        </w:rPr>
      </w:pPr>
      <w:r>
        <w:rPr>
          <w:rFonts w:eastAsia="Batang"/>
          <w:color w:val="000000"/>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rFonts w:eastAsia="Batang"/>
          <w:color w:val="000000"/>
          <w:sz w:val="22"/>
          <w:szCs w:val="22"/>
        </w:rPr>
      </w:pPr>
      <w:r>
        <w:rPr>
          <w:rFonts w:eastAsia="Batang"/>
          <w:color w:val="000000"/>
          <w:sz w:val="22"/>
          <w:szCs w:val="22"/>
        </w:rPr>
        <w:t xml:space="preserve">"Prefeitura Municipal de São Domingos do Norte” </w:t>
      </w:r>
      <w:r>
        <w:rPr>
          <w:rFonts w:eastAsia="Batang"/>
          <w:b/>
          <w:bCs/>
          <w:color w:val="000000"/>
          <w:sz w:val="22"/>
          <w:szCs w:val="22"/>
        </w:rPr>
        <w:t xml:space="preserve">– Pregão Presencial nº 11/2020 - SRP - </w:t>
      </w:r>
      <w:r>
        <w:rPr>
          <w:rFonts w:eastAsia="Batang"/>
          <w:color w:val="000000"/>
          <w:sz w:val="22"/>
          <w:szCs w:val="22"/>
        </w:rPr>
        <w:t xml:space="preserve">Envelope nº 001 – </w:t>
      </w:r>
      <w:r>
        <w:rPr>
          <w:rFonts w:eastAsia="Batang"/>
          <w:b/>
          <w:bCs/>
          <w:color w:val="000000"/>
          <w:sz w:val="22"/>
          <w:szCs w:val="22"/>
        </w:rPr>
        <w:t>PROPOSTA”</w:t>
      </w:r>
      <w:r>
        <w:rPr>
          <w:rFonts w:eastAsia="Batang"/>
          <w:color w:val="000000"/>
          <w:sz w:val="22"/>
          <w:szCs w:val="22"/>
        </w:rPr>
        <w:t>;</w:t>
      </w:r>
    </w:p>
    <w:p>
      <w:pPr>
        <w:spacing w:before="0"/>
        <w:jc w:val="both"/>
        <w:rPr>
          <w:rFonts w:eastAsia="Batang"/>
          <w:color w:val="000000"/>
          <w:sz w:val="22"/>
          <w:szCs w:val="22"/>
        </w:rPr>
      </w:pPr>
      <w:r>
        <w:rPr>
          <w:rFonts w:eastAsia="Batang"/>
          <w:color w:val="000000"/>
          <w:sz w:val="22"/>
          <w:szCs w:val="22"/>
        </w:rPr>
        <w:t xml:space="preserve">“Prefeitura Municipal de São Domingos do Norte” </w:t>
      </w:r>
      <w:r>
        <w:rPr>
          <w:rFonts w:eastAsia="Batang"/>
          <w:b/>
          <w:bCs/>
          <w:color w:val="000000"/>
          <w:sz w:val="22"/>
          <w:szCs w:val="22"/>
        </w:rPr>
        <w:t xml:space="preserve">– Pregão Presencial nº 11/2020 - SRP – </w:t>
      </w:r>
      <w:r>
        <w:rPr>
          <w:rFonts w:eastAsia="Batang"/>
          <w:color w:val="000000"/>
          <w:sz w:val="22"/>
          <w:szCs w:val="22"/>
        </w:rPr>
        <w:t xml:space="preserve">Envelope nº 002 – </w:t>
      </w:r>
      <w:r>
        <w:rPr>
          <w:rFonts w:eastAsia="Batang"/>
          <w:b/>
          <w:bCs/>
          <w:color w:val="000000"/>
          <w:sz w:val="22"/>
          <w:szCs w:val="22"/>
        </w:rPr>
        <w:t>HABILITAÇÃO</w:t>
      </w:r>
      <w:r>
        <w:rPr>
          <w:rFonts w:eastAsia="Batang"/>
          <w:color w:val="000000"/>
          <w:sz w:val="22"/>
          <w:szCs w:val="22"/>
        </w:rPr>
        <w:t>".</w:t>
      </w:r>
    </w:p>
    <w:p>
      <w:pPr>
        <w:spacing w:before="0"/>
        <w:jc w:val="both"/>
        <w:rPr>
          <w:color w:val="000000"/>
          <w:sz w:val="22"/>
          <w:szCs w:val="22"/>
        </w:rPr>
      </w:pPr>
      <w:r>
        <w:rPr>
          <w:color w:val="000000"/>
          <w:sz w:val="22"/>
          <w:szCs w:val="22"/>
        </w:rPr>
        <w:t xml:space="preserve">1.7. </w:t>
      </w:r>
      <w:r>
        <w:rPr>
          <w:b/>
          <w:color w:val="000000"/>
          <w:sz w:val="22"/>
          <w:szCs w:val="22"/>
        </w:rPr>
        <w:t>PEDIDO DE ESCLARECIMENTOS</w:t>
      </w:r>
      <w:r>
        <w:rPr>
          <w:color w:val="000000"/>
          <w:sz w:val="22"/>
          <w:szCs w:val="22"/>
        </w:rPr>
        <w:t>: Até 02 (dois) dias úteis anteriores à data fixada para abertura da sessão pública.</w:t>
      </w:r>
    </w:p>
    <w:p>
      <w:pPr>
        <w:spacing w:before="0"/>
        <w:jc w:val="both"/>
        <w:rPr>
          <w:color w:val="000000"/>
          <w:sz w:val="22"/>
          <w:szCs w:val="22"/>
        </w:rPr>
      </w:pPr>
      <w:r>
        <w:rPr>
          <w:color w:val="000000"/>
          <w:sz w:val="22"/>
          <w:szCs w:val="22"/>
        </w:rPr>
      </w:r>
    </w:p>
    <w:p>
      <w:pPr>
        <w:spacing w:before="0"/>
        <w:jc w:val="both"/>
        <w:rPr>
          <w:b/>
          <w:bCs/>
          <w:color w:val="000000"/>
          <w:sz w:val="22"/>
          <w:szCs w:val="22"/>
          <w:u w:color="auto" w:val="single"/>
        </w:rPr>
      </w:pPr>
      <w:r>
        <w:rPr>
          <w:b/>
          <w:bCs/>
          <w:color w:val="000000"/>
          <w:sz w:val="22"/>
          <w:szCs w:val="22"/>
          <w:u w:color="auto" w:val="single"/>
        </w:rPr>
        <w:t>2 - DO OBJETO</w:t>
      </w:r>
    </w:p>
    <w:p>
      <w:pPr>
        <w:spacing w:before="0"/>
        <w:jc w:val="both"/>
        <w:rPr>
          <w:color w:val="000000"/>
          <w:sz w:val="22"/>
          <w:szCs w:val="22"/>
        </w:rPr>
      </w:pPr>
      <w:r>
        <w:rPr>
          <w:color w:val="000000"/>
          <w:sz w:val="22"/>
          <w:szCs w:val="22"/>
        </w:rPr>
        <w:t>2.1. Aquisição de doces diversos e outros, que serão distribuídos para os alunos da rede municipal de ensino nas datas comemorativas e nos projetos e oficinas desenvolvidos dentro do FIA, e do CRAS João Gabriel, no Abrigo Institucional Sebastião Barbosa Carneiro Sobrinho, nos Grupos daTerceira Idade Vida Nova e Idade de Ouro, para atender as necessidades da Secretaria Municipal de Educação e Cultura, Secretaria Municipal do Trabalho, Assistência e Desenvolvimento Social, tudo conforme anexo I do edital e Termo de Referência.</w:t>
      </w:r>
    </w:p>
    <w:p>
      <w:pPr>
        <w:spacing w:before="0"/>
        <w:jc w:val="both"/>
        <w:rPr>
          <w:rFonts w:eastAsia="Batang"/>
          <w:color w:val="000000"/>
          <w:sz w:val="22"/>
          <w:szCs w:val="22"/>
        </w:rPr>
      </w:pPr>
      <w:r>
        <w:rPr>
          <w:rFonts w:eastAsia="Batang"/>
          <w:color w:val="000000"/>
          <w:sz w:val="22"/>
          <w:szCs w:val="22"/>
        </w:rPr>
      </w:r>
    </w:p>
    <w:p>
      <w:pPr>
        <w:spacing w:before="0"/>
        <w:jc w:val="both"/>
        <w:rPr>
          <w:b/>
          <w:bCs/>
          <w:color w:val="000000"/>
          <w:sz w:val="22"/>
          <w:szCs w:val="22"/>
        </w:rPr>
      </w:pPr>
      <w:r>
        <w:rPr>
          <w:b/>
          <w:bCs/>
          <w:color w:val="000000"/>
          <w:sz w:val="22"/>
          <w:szCs w:val="22"/>
        </w:rPr>
        <w:t>3 - DAS CONDIÇÕES DE RECEBIMENTO DO OBJETO DA LICITAÇÃO E PRAZO DE ENTREGA</w:t>
      </w:r>
    </w:p>
    <w:p>
      <w:pPr>
        <w:spacing w:before="0"/>
        <w:jc w:val="both"/>
        <w:rPr>
          <w:sz w:val="22"/>
          <w:szCs w:val="22"/>
        </w:rPr>
      </w:pPr>
      <w:r>
        <w:rPr>
          <w:color w:val="000000"/>
          <w:sz w:val="22"/>
          <w:szCs w:val="22"/>
        </w:rPr>
        <w:t xml:space="preserve">3.1. </w:t>
      </w:r>
      <w:r>
        <w:rPr>
          <w:sz w:val="22"/>
          <w:szCs w:val="22"/>
        </w:rPr>
        <w:t>A entrega dos produtos deverá ser efetuada no prazo de 05 (cinco) dias, a contar da data de recebimento da Ordem de Fornecimento.</w:t>
      </w:r>
    </w:p>
    <w:p>
      <w:pPr>
        <w:spacing w:before="0"/>
        <w:jc w:val="both"/>
        <w:rPr>
          <w:sz w:val="22"/>
          <w:szCs w:val="22"/>
        </w:rPr>
      </w:pPr>
      <w:r>
        <w:rPr>
          <w:sz w:val="22"/>
          <w:szCs w:val="22"/>
        </w:rPr>
        <w:t>3.2. Os materiais requisitados deverão ser entregues em local determinado pela secretaria solicitante, bem como a cópia reprográfica da “Ordem de Fornecimento”.</w:t>
      </w:r>
    </w:p>
    <w:p>
      <w:pPr>
        <w:spacing w:before="0"/>
        <w:jc w:val="both"/>
        <w:rPr>
          <w:sz w:val="22"/>
          <w:szCs w:val="22"/>
        </w:rPr>
      </w:pPr>
      <w:r>
        <w:rPr>
          <w:sz w:val="22"/>
          <w:szCs w:val="22"/>
        </w:rPr>
        <w:t>3.3. Nenhum material deverá ser entregue sem autorização do Setor de Compras, responsabilizando-se a CONTRATADA pela entrega irregular.</w:t>
      </w:r>
    </w:p>
    <w:p>
      <w:pPr>
        <w:spacing w:before="0"/>
        <w:jc w:val="both"/>
        <w:rPr>
          <w:sz w:val="22"/>
          <w:szCs w:val="22"/>
        </w:rPr>
      </w:pPr>
      <w:r>
        <w:rPr>
          <w:sz w:val="22"/>
          <w:szCs w:val="22"/>
        </w:rPr>
        <w:t>3.4. Os objetos deverão ser entregues devidamente embaladas, de forma a não serem danificadas durante as operações de transporte e descarga no local de entrega.</w:t>
      </w:r>
    </w:p>
    <w:p>
      <w:pPr>
        <w:spacing w:before="0"/>
        <w:jc w:val="both"/>
        <w:rPr>
          <w:sz w:val="22"/>
          <w:szCs w:val="22"/>
        </w:rPr>
      </w:pPr>
      <w:r>
        <w:rPr>
          <w:sz w:val="22"/>
          <w:szCs w:val="22"/>
        </w:rPr>
        <w:t>3.5. A entrega deverá ser efetuada em até 05 (cinco) dias após a expedição da Ordem de Fornecimento emitida pelo Setor de Compras, contando-se o prazo a partir da comunicação formal que será efetuada via fax ou outro meio hábil. A entrega será de forma parcelada, mediante solicitação do Gabinete do Prefeito e nas quantidades indicadas pela mesma.</w:t>
      </w:r>
    </w:p>
    <w:p>
      <w:pPr>
        <w:spacing w:before="0"/>
        <w:jc w:val="both"/>
        <w:rPr>
          <w:sz w:val="22"/>
          <w:szCs w:val="22"/>
        </w:rPr>
      </w:pPr>
      <w:r>
        <w:rPr>
          <w:sz w:val="22"/>
          <w:szCs w:val="22"/>
        </w:rPr>
        <w:t xml:space="preserve">3.6. Os materiais adquiridos se estiverem de acordo com as especificações do edital, da proposta e deste instrumento, será recebido: </w:t>
      </w:r>
    </w:p>
    <w:p>
      <w:pPr>
        <w:spacing w:before="0"/>
        <w:jc w:val="both"/>
        <w:rPr>
          <w:sz w:val="22"/>
          <w:szCs w:val="22"/>
        </w:rPr>
      </w:pPr>
      <w:r>
        <w:rPr>
          <w:sz w:val="22"/>
          <w:szCs w:val="22"/>
        </w:rPr>
        <w:t>• Após verificação da qualidade e quantidade da mercadoria e consequente aceitação;</w:t>
      </w:r>
    </w:p>
    <w:p>
      <w:pPr>
        <w:spacing w:before="0"/>
        <w:jc w:val="both"/>
        <w:rPr>
          <w:sz w:val="22"/>
          <w:szCs w:val="22"/>
        </w:rPr>
      </w:pPr>
      <w:r>
        <w:rPr>
          <w:sz w:val="22"/>
          <w:szCs w:val="22"/>
        </w:rPr>
        <w:t>• A aceitação do material, não exclui a responsabilidade civil, por vícios de forma, quantidade, qualidade ou técnicos ou por desacordo com as correspondentes especificações, verificadas posteriormente;</w:t>
      </w:r>
    </w:p>
    <w:p>
      <w:pPr>
        <w:spacing w:before="0"/>
        <w:jc w:val="both"/>
        <w:rPr>
          <w:sz w:val="22"/>
          <w:szCs w:val="22"/>
        </w:rPr>
      </w:pPr>
      <w:r>
        <w:rPr>
          <w:sz w:val="22"/>
          <w:szCs w:val="22"/>
        </w:rPr>
        <w:t>• A mercadoria recusada será considerada como não entregue;</w:t>
      </w:r>
    </w:p>
    <w:p>
      <w:pPr>
        <w:spacing w:before="0"/>
        <w:jc w:val="both"/>
        <w:rPr>
          <w:sz w:val="22"/>
          <w:szCs w:val="22"/>
        </w:rPr>
      </w:pPr>
      <w:r>
        <w:rPr>
          <w:sz w:val="22"/>
          <w:szCs w:val="22"/>
        </w:rPr>
        <w:t>• Os custos de retirada e devolução do material recusado, bem como quaisquer outras despesas decorrentes, correrão por conta da CONTRATADA.</w:t>
      </w:r>
    </w:p>
    <w:p>
      <w:pPr>
        <w:spacing w:before="0"/>
        <w:jc w:val="both"/>
        <w:rPr>
          <w:sz w:val="22"/>
          <w:szCs w:val="22"/>
        </w:rPr>
      </w:pPr>
      <w:r>
        <w:rPr>
          <w:sz w:val="22"/>
          <w:szCs w:val="22"/>
        </w:rPr>
        <w:t>3.7. Horários para entrega deverá ser compatível ao horário de funcionamento da Prefeitura, conforme o prazo instituído neste termo de referência, acompanhados de Nota Fiscal.</w:t>
      </w:r>
    </w:p>
    <w:p>
      <w:pPr>
        <w:spacing w:before="0"/>
        <w:jc w:val="both"/>
        <w:rPr>
          <w:rFonts w:ascii="Arial" w:hAnsi="Arial" w:eastAsia="Calibri" w:cs="Arial"/>
          <w:sz w:val="24"/>
          <w:szCs w:val="24"/>
        </w:rPr>
      </w:pPr>
      <w:r>
        <w:rPr>
          <w:sz w:val="22"/>
          <w:szCs w:val="22"/>
        </w:rPr>
        <w:t>3.8. Todo o material a ser adquirido será solicitado a arte a ser desenvolvida pela empresa(s) vencedora(s) do certame.</w:t>
      </w:r>
      <w:r>
        <w:rPr>
          <w:rFonts w:ascii="Arial" w:hAnsi="Arial" w:eastAsia="Calibri" w:cs="Arial"/>
          <w:sz w:val="24"/>
          <w:szCs w:val="24"/>
        </w:rPr>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4 - DOTAÇÕES ORÇAMENTÁRIAS</w:t>
      </w:r>
    </w:p>
    <w:p>
      <w:pPr>
        <w:spacing w:before="0"/>
        <w:jc w:val="both"/>
        <w:rPr>
          <w:color w:val="000000"/>
          <w:sz w:val="22"/>
          <w:szCs w:val="22"/>
        </w:rPr>
      </w:pPr>
      <w:r>
        <w:rPr>
          <w:color w:val="000000"/>
          <w:sz w:val="22"/>
          <w:szCs w:val="22"/>
        </w:rPr>
        <w:t>4.1. As despesas decorrentes da presente licitação serão pagos com as seguintes dotações orçamentárias:</w:t>
      </w:r>
    </w:p>
    <w:p>
      <w:pPr>
        <w:spacing w:before="0"/>
        <w:jc w:val="both"/>
        <w:rPr>
          <w:color w:val="000000"/>
          <w:sz w:val="22"/>
          <w:szCs w:val="22"/>
        </w:rPr>
      </w:pPr>
      <w:r>
        <w:rPr>
          <w:color w:val="000000"/>
          <w:sz w:val="22"/>
          <w:szCs w:val="22"/>
        </w:rPr>
        <w:t>Secretaria Municipal de Educação e Cultura</w:t>
      </w:r>
    </w:p>
    <w:p>
      <w:pPr>
        <w:spacing w:before="0"/>
        <w:jc w:val="both"/>
        <w:rPr>
          <w:color w:val="000000"/>
          <w:sz w:val="22"/>
          <w:szCs w:val="22"/>
        </w:rPr>
      </w:pPr>
      <w:r>
        <w:rPr>
          <w:color w:val="000000"/>
          <w:sz w:val="22"/>
          <w:szCs w:val="22"/>
        </w:rPr>
        <w:t>Ficha 289 - 1001.</w:t>
      </w:r>
    </w:p>
    <w:p>
      <w:pPr>
        <w:spacing w:before="0"/>
        <w:jc w:val="both"/>
        <w:rPr>
          <w:color w:val="000000"/>
          <w:sz w:val="22"/>
          <w:szCs w:val="22"/>
        </w:rPr>
      </w:pPr>
      <w:r>
        <w:rPr>
          <w:color w:val="000000"/>
          <w:sz w:val="22"/>
          <w:szCs w:val="22"/>
        </w:rPr>
        <w:t>Secretaria Municipal do Trabalho, Assistência e Desenvolvimento Social</w:t>
      </w:r>
    </w:p>
    <w:p>
      <w:pPr>
        <w:spacing w:before="0"/>
        <w:jc w:val="both"/>
        <w:rPr>
          <w:color w:val="000000"/>
          <w:sz w:val="22"/>
          <w:szCs w:val="22"/>
        </w:rPr>
      </w:pPr>
      <w:r>
        <w:rPr>
          <w:color w:val="000000"/>
          <w:sz w:val="22"/>
          <w:szCs w:val="22"/>
        </w:rPr>
        <w:t>Fichas 328 - 1001, 336 - 1390, 369 - 1311, 393 - 1390.</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DA ATA DE REGISTRO DE PREÇOS</w:t>
      </w:r>
    </w:p>
    <w:p>
      <w:pPr>
        <w:spacing w:before="0"/>
        <w:jc w:val="both"/>
        <w:rPr>
          <w:b/>
          <w:color w:val="000000"/>
          <w:sz w:val="22"/>
          <w:szCs w:val="22"/>
        </w:rPr>
      </w:pPr>
      <w:r>
        <w:rPr>
          <w:color w:val="000000"/>
          <w:sz w:val="22"/>
          <w:szCs w:val="22"/>
        </w:rPr>
        <w:t>5.1. A Ata de Registro de Preços terá inicio após sua assinatura; será válida por 12 meses.</w:t>
      </w:r>
      <w:r>
        <w:rPr>
          <w:b/>
          <w:color w:val="000000"/>
          <w:sz w:val="22"/>
          <w:szCs w:val="22"/>
        </w:rPr>
      </w:r>
    </w:p>
    <w:p>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sz w:val="22"/>
          <w:szCs w:val="22"/>
        </w:rPr>
      </w:pPr>
      <w:r>
        <w:rPr>
          <w:color w:val="000000"/>
          <w:sz w:val="22"/>
          <w:szCs w:val="22"/>
        </w:rPr>
        <w:t>6.1 O pagamento será feito após a emissão da Nota fiscal e o atestado do fiscal da ata de registro de preços no prazo máximo de 30 (trinta) dias.</w:t>
      </w:r>
    </w:p>
    <w:p>
      <w:pPr>
        <w:spacing w:before="0"/>
        <w:jc w:val="both"/>
        <w:rPr>
          <w:color w:val="000000"/>
          <w:sz w:val="22"/>
          <w:szCs w:val="22"/>
        </w:rPr>
      </w:pPr>
      <w:r>
        <w:rPr>
          <w:color w:val="000000"/>
          <w:sz w:val="22"/>
          <w:szCs w:val="22"/>
        </w:rPr>
        <w:t>6.2. O pagamento far-se-á por meio de uma única fatura.</w:t>
      </w:r>
    </w:p>
    <w:p>
      <w:pPr>
        <w:spacing w:before="0"/>
        <w:jc w:val="both"/>
        <w:rPr>
          <w:color w:val="000000"/>
          <w:sz w:val="22"/>
          <w:szCs w:val="22"/>
        </w:rPr>
      </w:pPr>
      <w:r>
        <w:rPr>
          <w:color w:val="000000"/>
          <w:sz w:val="22"/>
          <w:szCs w:val="22"/>
        </w:rPr>
        <w:t>6.3.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6.4. A liquidação das despesas obedecerá rigorosamente o estabelecido na Lei nº 4.320/64 e alterações posteriores.</w:t>
      </w:r>
    </w:p>
    <w:p>
      <w:pPr>
        <w:spacing w:before="0"/>
        <w:jc w:val="both"/>
        <w:rPr>
          <w:color w:val="000000"/>
          <w:sz w:val="22"/>
          <w:szCs w:val="22"/>
        </w:rPr>
      </w:pPr>
      <w:r>
        <w:rPr>
          <w:color w:val="000000"/>
          <w:sz w:val="22"/>
          <w:szCs w:val="22"/>
        </w:rPr>
        <w:t>6.5.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6.6. A eventual inadimplência de um dos órgãos participantes desta Ata não produzirá efeitos quanto aos demais.</w:t>
      </w:r>
    </w:p>
    <w:p>
      <w:pPr>
        <w:spacing w:before="0"/>
        <w:jc w:val="both"/>
        <w:rPr>
          <w:color w:val="000000"/>
          <w:sz w:val="22"/>
          <w:szCs w:val="22"/>
        </w:rPr>
      </w:pPr>
      <w:r>
        <w:rPr>
          <w:color w:val="000000"/>
          <w:sz w:val="22"/>
          <w:szCs w:val="22"/>
        </w:rPr>
        <w:t>6.7.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será de 12 (meses) de acordo com ata de registro de preço.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8 - RECEBIMENTO E ABERTURA DAS PROPOSTAS E DATA DO PREGÃO</w:t>
      </w:r>
    </w:p>
    <w:p>
      <w:pPr>
        <w:spacing w:before="0"/>
        <w:jc w:val="both"/>
        <w:rPr>
          <w:color w:val="000000"/>
          <w:sz w:val="22"/>
          <w:szCs w:val="22"/>
        </w:rPr>
      </w:pPr>
      <w:r>
        <w:rPr>
          <w:color w:val="000000"/>
          <w:sz w:val="22"/>
          <w:szCs w:val="22"/>
        </w:rPr>
        <w:t>8.1. O fornecedor deverá observar as datas e os horários limites previstos para a abertura da proposta, atentando também para a data e horário do início da disputa.</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9 - REFERÊNCIAS DE TEMPO</w:t>
      </w:r>
    </w:p>
    <w:p>
      <w:pPr>
        <w:spacing w:before="0"/>
        <w:jc w:val="both"/>
        <w:rPr>
          <w:color w:val="000000"/>
          <w:sz w:val="22"/>
          <w:szCs w:val="22"/>
        </w:rPr>
      </w:pPr>
      <w:r>
        <w:rPr>
          <w:color w:val="000000"/>
          <w:sz w:val="22"/>
          <w:szCs w:val="22"/>
        </w:rPr>
        <w:t>9.1. Todas as referências de tempo no Edital, no Aviso e durante a Sessão Pública observarão, obrigatoriamente, o horário de Brasília – DF.</w:t>
      </w:r>
    </w:p>
    <w:p>
      <w:pPr>
        <w:spacing w:before="0"/>
        <w:jc w:val="both"/>
        <w:rPr>
          <w:rStyle w:val="char9"/>
          <w:b w:val="0"/>
          <w:bCs w:val="0"/>
          <w:color w:val="000000"/>
          <w:sz w:val="22"/>
          <w:szCs w:val="22"/>
        </w:rPr>
      </w:pPr>
      <w:r>
        <w:rPr>
          <w:rStyle w:val="char9"/>
          <w:b w:val="0"/>
          <w:bCs w:val="0"/>
          <w:color w:val="000000"/>
          <w:sz w:val="22"/>
          <w:szCs w:val="22"/>
        </w:rPr>
      </w:r>
    </w:p>
    <w:p>
      <w:pPr>
        <w:spacing w:before="0"/>
        <w:jc w:val="both"/>
        <w:rPr>
          <w:b/>
          <w:bCs/>
          <w:color w:val="000000"/>
          <w:sz w:val="22"/>
          <w:szCs w:val="22"/>
        </w:rPr>
      </w:pPr>
      <w:r>
        <w:rPr>
          <w:b/>
          <w:bCs/>
          <w:color w:val="000000"/>
          <w:sz w:val="22"/>
          <w:szCs w:val="22"/>
        </w:rPr>
        <w:t>10 - CONDIÇÕES PARA PARTICIPAÇÃO</w:t>
      </w:r>
    </w:p>
    <w:p>
      <w:pPr>
        <w:spacing w:before="0"/>
        <w:jc w:val="both"/>
        <w:rPr>
          <w:color w:val="000000"/>
          <w:sz w:val="22"/>
          <w:szCs w:val="22"/>
        </w:rPr>
      </w:pPr>
      <w:r>
        <w:rPr>
          <w:color w:val="000000"/>
          <w:sz w:val="22"/>
          <w:szCs w:val="22"/>
        </w:rPr>
        <w:t>10.1. Poderão participar do processo os interessados que atenderem a todas as exigências contidas neste Edital e seus anexos.</w:t>
      </w:r>
    </w:p>
    <w:p>
      <w:pPr>
        <w:spacing w:before="0"/>
        <w:jc w:val="both"/>
        <w:rPr>
          <w:color w:val="000000"/>
          <w:sz w:val="22"/>
          <w:szCs w:val="22"/>
        </w:rPr>
      </w:pPr>
      <w:r>
        <w:rPr>
          <w:color w:val="000000"/>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rFonts w:eastAsia="BookmanOldStyle"/>
          <w:b/>
          <w:color w:val="000000"/>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w:t>
      </w:r>
      <w:r>
        <w:rPr>
          <w:b/>
          <w:color w:val="000000"/>
          <w:sz w:val="22"/>
          <w:szCs w:val="22"/>
        </w:rPr>
        <w:t>a(</w:t>
      </w:r>
      <w:r>
        <w:rPr>
          <w:b/>
          <w:color w:val="000000"/>
          <w:sz w:val="22"/>
          <w:szCs w:val="22"/>
        </w:rPr>
        <w:t>o) Pregoeiro</w:t>
      </w:r>
      <w:r>
        <w:rPr>
          <w:b/>
          <w:color w:val="000000"/>
          <w:sz w:val="22"/>
          <w:szCs w:val="22"/>
        </w:rPr>
        <w:t>(a), o proponente poderá enviar um representante</w:t>
      </w:r>
      <w:r>
        <w:rPr>
          <w:b/>
          <w:color w:val="000000"/>
          <w:sz w:val="22"/>
          <w:szCs w:val="22"/>
        </w:rPr>
        <w:t xml:space="preserve"> munido de credencial conforme m</w:t>
      </w:r>
      <w:r>
        <w:rPr>
          <w:b/>
          <w:color w:val="000000"/>
          <w:sz w:val="22"/>
          <w:szCs w:val="22"/>
        </w:rPr>
        <w:t xml:space="preserve">odelo deste Edital. </w:t>
      </w:r>
      <w:r>
        <w:rPr>
          <w:b/>
          <w:color w:val="000000"/>
          <w:sz w:val="22"/>
          <w:szCs w:val="22"/>
        </w:rPr>
        <w:t xml:space="preserve"> Apresentar o contrato social, cópia</w:t>
      </w:r>
      <w:r>
        <w:rPr>
          <w:b/>
          <w:color w:val="000000"/>
          <w:sz w:val="22"/>
          <w:szCs w:val="22"/>
        </w:rPr>
        <w:t>s</w:t>
      </w:r>
      <w:r>
        <w:rPr>
          <w:b/>
          <w:color w:val="000000"/>
          <w:sz w:val="22"/>
          <w:szCs w:val="22"/>
        </w:rPr>
        <w:t xml:space="preserve"> dos documentos dos sócios. </w:t>
      </w:r>
      <w:r>
        <w:rPr>
          <w:b/>
          <w:color w:val="000000"/>
          <w:sz w:val="22"/>
          <w:szCs w:val="22"/>
        </w:rPr>
        <w:t>Sendo representante legal ou não</w:t>
      </w:r>
      <w:r>
        <w:rPr>
          <w:b/>
          <w:color w:val="000000"/>
          <w:sz w:val="22"/>
          <w:szCs w:val="22"/>
        </w:rPr>
        <w:t xml:space="preserve">, deverá apresentar a </w:t>
      </w:r>
      <w:r>
        <w:rPr>
          <w:b/>
          <w:sz w:val="22"/>
          <w:szCs w:val="22"/>
        </w:rPr>
        <w:t>Certidão Simplificada da Junta Comercial</w:t>
      </w:r>
      <w:r>
        <w:rPr>
          <w:b/>
          <w:sz w:val="22"/>
          <w:szCs w:val="22"/>
        </w:rPr>
        <w:t xml:space="preserve"> expedida em até 120 (cento e vinte) dias anterior à abertura do certame, </w:t>
      </w:r>
      <w:r>
        <w:rPr>
          <w:b/>
          <w:sz w:val="22"/>
          <w:szCs w:val="22"/>
        </w:rPr>
        <w:t xml:space="preserve">que comprove tal situação do </w:t>
      </w:r>
      <w:r>
        <w:rPr>
          <w:rFonts w:eastAsia="BookmanOldStyle"/>
          <w:b/>
          <w:sz w:val="22"/>
          <w:szCs w:val="22"/>
        </w:rPr>
        <w:t>representante legal da empresa.</w:t>
      </w:r>
      <w:r>
        <w:rPr>
          <w:rFonts w:eastAsia="BookmanOldStyle"/>
          <w:b/>
          <w:color w:val="000000"/>
          <w:sz w:val="22"/>
          <w:szCs w:val="22"/>
        </w:rPr>
      </w:r>
    </w:p>
    <w:p>
      <w:pPr>
        <w:spacing w:before="0"/>
        <w:jc w:val="both"/>
        <w:rPr>
          <w:b/>
          <w:color w:val="000000"/>
          <w:sz w:val="22"/>
          <w:szCs w:val="22"/>
        </w:rPr>
      </w:pPr>
      <w:r>
        <w:rPr>
          <w:b/>
          <w:color w:val="000000"/>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pelo pregoeiro,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 desde que seja protocolado nesta municipalidade direcionado ao pregoeiro, citando todas as alegações e manifestações das quais deseja impugnar. Só será aceito pedidos de impugnações protocolados no setor de protocolo dessa municipalidade em dias de segunda a quinta, no horário de 7h30 as 11h30 e das 12h30 as 16h30 e dia de sexta - feira de 07h as 11h.</w:t>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p>
    <w:p>
      <w:pPr>
        <w:spacing w:before="0"/>
        <w:jc w:val="both"/>
        <w:rPr>
          <w:color w:val="000000"/>
          <w:sz w:val="22"/>
          <w:szCs w:val="22"/>
        </w:rPr>
      </w:pPr>
      <w:r>
        <w:rPr>
          <w:color w:val="00000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deste Edital, quando, então, encerrar-se-á, a fase de recebimento de propostas.</w:t>
      </w:r>
    </w:p>
    <w:p>
      <w:pPr>
        <w:spacing w:before="0"/>
        <w:jc w:val="both"/>
        <w:rPr>
          <w:color w:val="000000"/>
          <w:sz w:val="22"/>
          <w:szCs w:val="22"/>
        </w:rPr>
      </w:pPr>
      <w:r>
        <w:rPr>
          <w:color w:val="000000"/>
          <w:sz w:val="22"/>
          <w:szCs w:val="22"/>
        </w:rPr>
        <w:t>14.2. Para participação no Pregão, o licitante deverá manifestar mediante declaração que cumpre plenamente os requisitos de habilitação e que sua proposta está em conformidade com as exigências do instrumento convocatório.</w:t>
      </w:r>
    </w:p>
    <w:p>
      <w:pPr>
        <w:spacing w:before="0"/>
        <w:jc w:val="both"/>
        <w:rPr>
          <w:color w:val="000000"/>
          <w:sz w:val="22"/>
          <w:szCs w:val="22"/>
        </w:rPr>
      </w:pPr>
      <w:r>
        <w:rPr>
          <w:color w:val="000000"/>
          <w:sz w:val="22"/>
          <w:szCs w:val="22"/>
        </w:rPr>
        <w:t xml:space="preserve">14.3. A declaração falsa relativa ao cumprimento dos requisitos de habilitação e proposta sujeitará o licitante às sanções previstas na legislação de regência. </w:t>
      </w:r>
    </w:p>
    <w:p>
      <w:pPr>
        <w:spacing w:before="0"/>
        <w:jc w:val="both"/>
        <w:rPr>
          <w:color w:val="000000"/>
          <w:sz w:val="22"/>
          <w:szCs w:val="22"/>
        </w:rPr>
      </w:pPr>
      <w:r>
        <w:rPr>
          <w:color w:val="000000"/>
          <w:sz w:val="22"/>
          <w:szCs w:val="22"/>
        </w:rPr>
        <w:t>14.4. A proposta comercial vencedora deverá ser apresentada em conformidade com o modelo contido no ANEXO III, acompanhada de todos os documentos nele enumerados, observando-se o que se segue, sem prejuízo para as demais instruções constantes deste edital e seus anexos:</w:t>
      </w:r>
    </w:p>
    <w:p>
      <w:pPr>
        <w:spacing w:before="0"/>
        <w:jc w:val="both"/>
        <w:rPr>
          <w:color w:val="000000"/>
          <w:sz w:val="22"/>
          <w:szCs w:val="22"/>
        </w:rPr>
      </w:pPr>
      <w:r>
        <w:rPr>
          <w:color w:val="000000"/>
          <w:sz w:val="22"/>
          <w:szCs w:val="22"/>
        </w:rPr>
        <w:t>a) Datilografá-la ou digitá-la, em 01 via, sem emendas, rasuras ou entrelinhas que venham a ensejar dúvidas, reconhecendo a plena aceitação e aplicação mediante declaração, ao contrato, das normas e critérios deste Edital;</w:t>
      </w:r>
    </w:p>
    <w:p>
      <w:pPr>
        <w:spacing w:before="0"/>
        <w:jc w:val="both"/>
        <w:rPr>
          <w:color w:val="000000"/>
          <w:sz w:val="22"/>
          <w:szCs w:val="22"/>
        </w:rPr>
      </w:pPr>
      <w:r>
        <w:rPr>
          <w:color w:val="000000"/>
          <w:sz w:val="22"/>
          <w:szCs w:val="22"/>
        </w:rPr>
        <w:t>b) Assinar a proposta na parte final e rubricá-la em todas as suas folhas.</w:t>
      </w:r>
    </w:p>
    <w:p>
      <w:pPr>
        <w:spacing w:before="0"/>
        <w:jc w:val="both"/>
        <w:rPr>
          <w:b/>
          <w:bCs/>
          <w:sz w:val="22"/>
          <w:szCs w:val="22"/>
        </w:rPr>
      </w:pPr>
      <w:r>
        <w:rPr>
          <w:sz w:val="22"/>
          <w:szCs w:val="22"/>
        </w:rPr>
        <w:t xml:space="preserve">14.5.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t>, pois as propostas não serão digitadas por nenhum membro.</w:t>
      </w:r>
      <w:r>
        <w:rPr>
          <w:b/>
          <w:bCs/>
          <w:sz w:val="22"/>
          <w:szCs w:val="22"/>
        </w:rPr>
      </w:r>
    </w:p>
    <w:p>
      <w:pPr>
        <w:spacing w:before="0"/>
        <w:jc w:val="both"/>
        <w:rPr>
          <w:sz w:val="22"/>
          <w:szCs w:val="22"/>
        </w:rPr>
      </w:pPr>
      <w:r>
        <w:rPr>
          <w:sz w:val="22"/>
          <w:szCs w:val="22"/>
        </w:rPr>
        <w:t>14.6. O licitante deverá solicitar esse arquivo em dia útil desta municipalidade até as 16:30min do dia antecedente ao certame marcado.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por lote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 por lote.</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por lote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color w:val="000000"/>
          <w:sz w:val="22"/>
          <w:szCs w:val="22"/>
        </w:rPr>
      </w:pPr>
      <w:r>
        <w:rPr>
          <w:rStyle w:val="char3"/>
          <w:i w:val="0"/>
          <w:iCs w:val="0"/>
          <w:color w:val="00000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o pregoeiro e protocolados junto ao órgão promotor do certame, localizado no endereço indicado neste edital, em dias de segunda a quinta, no horário de 7h30 as 11h30 e das 12h30 as 16h30 e dia de sexta - feira de 07h as 11h.</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18 - DA ADJUDICAÇÃO E DA CONVOCAÇÃO PARA ASSINAR A ATA DE REGISTRO DE PREÇOS</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para assinar a Ata de Registro de Preços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b/>
          <w:color w:val="000000"/>
          <w:sz w:val="22"/>
          <w:szCs w:val="22"/>
        </w:rPr>
      </w:pPr>
      <w:r>
        <w:rPr>
          <w:b/>
          <w:color w:val="000000"/>
          <w:sz w:val="22"/>
          <w:szCs w:val="22"/>
        </w:rPr>
        <w:t xml:space="preserve">18.4. </w:t>
      </w:r>
      <w:r>
        <w:rPr>
          <w:b/>
          <w:sz w:val="22"/>
          <w:szCs w:val="22"/>
        </w:rPr>
        <w:t xml:space="preserve">No ato de assinatura da ata de registro de preços, </w:t>
      </w:r>
      <w:r>
        <w:rPr>
          <w:b/>
          <w:color w:val="000000"/>
          <w:sz w:val="22"/>
          <w:szCs w:val="22"/>
        </w:rPr>
        <w:t>será exigida da licitante habilitada, a apresentação do Alvará de Localização e Funcionamento para comprovação das condições de habilitação consignadas no edital, as quais deverão ser mantidas pelo licitante durante a vigência do pacto.</w:t>
      </w:r>
      <w:r>
        <w:rPr>
          <w:b/>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t>19 - DAS SANÇÕES ADMINISTRATIVAS</w:t>
      </w:r>
    </w:p>
    <w:p>
      <w:pPr>
        <w:spacing w:before="0"/>
        <w:jc w:val="both"/>
        <w:rPr>
          <w:color w:val="000000"/>
          <w:sz w:val="22"/>
          <w:szCs w:val="22"/>
        </w:rPr>
      </w:pPr>
      <w:r>
        <w:rPr>
          <w:color w:val="000000"/>
          <w:sz w:val="22"/>
          <w:szCs w:val="22"/>
        </w:rPr>
        <w:t>19.1.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19.1.1.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19.1.2. Os dias de atraso serão contabilizados em conformidade com o cronograma de execução do objeto contratual;</w:t>
      </w:r>
    </w:p>
    <w:p>
      <w:pPr>
        <w:spacing w:before="0"/>
        <w:jc w:val="both"/>
        <w:rPr>
          <w:color w:val="000000"/>
          <w:sz w:val="22"/>
          <w:szCs w:val="22"/>
        </w:rPr>
      </w:pPr>
      <w:r>
        <w:rPr>
          <w:color w:val="000000"/>
          <w:sz w:val="22"/>
          <w:szCs w:val="22"/>
        </w:rPr>
        <w:t>19.1.3. A aplicação da multa de mora não impede que a Administração rescinda unilateralmente o contrato e aplique as outras sanções previstas neste edital e na Lei Federal nº. 8.666/93.</w:t>
      </w:r>
    </w:p>
    <w:p>
      <w:pPr>
        <w:spacing w:before="0"/>
        <w:jc w:val="both"/>
        <w:rPr>
          <w:color w:val="000000"/>
          <w:sz w:val="22"/>
          <w:szCs w:val="22"/>
        </w:rPr>
      </w:pPr>
      <w:r>
        <w:rPr>
          <w:color w:val="000000"/>
          <w:sz w:val="22"/>
          <w:szCs w:val="22"/>
        </w:rPr>
        <w:t>19.2.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19.3.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19.5.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19.6.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b/>
          <w:color w:val="000000"/>
        </w:rPr>
      </w:pPr>
      <w:r>
        <w:rPr>
          <w:rFonts w:ascii="Times New Roman" w:hAnsi="Times New Roman"/>
          <w:b/>
        </w:rPr>
        <w:t xml:space="preserve">20 – </w:t>
      </w:r>
      <w:r>
        <w:rPr>
          <w:rFonts w:ascii="Times New Roman" w:hAnsi="Times New Roman"/>
          <w:b/>
          <w:color w:val="000000"/>
        </w:rPr>
        <w:t>D</w:t>
      </w:r>
      <w:r>
        <w:rPr>
          <w:rFonts w:ascii="Times New Roman" w:hAnsi="Times New Roman"/>
          <w:b/>
          <w:color w:val="000000"/>
        </w:rPr>
        <w:t>AS CONDIÇÕES E</w:t>
      </w:r>
      <w:r>
        <w:rPr>
          <w:rFonts w:ascii="Times New Roman" w:hAnsi="Times New Roman"/>
          <w:b/>
          <w:color w:val="000000"/>
        </w:rPr>
        <w:t xml:space="preserve"> LOCAL DE ENTREGA</w:t>
      </w:r>
      <w:r>
        <w:rPr>
          <w:rFonts w:ascii="Times New Roman" w:hAnsi="Times New Roman"/>
          <w:b/>
          <w:color w:val="000000"/>
        </w:rPr>
      </w:r>
    </w:p>
    <w:p>
      <w:pPr>
        <w:pStyle w:val="para37"/>
        <w:spacing w:before="0"/>
        <w:jc w:val="both"/>
        <w:widowControl w:val="0"/>
        <w:tabs defTabSz="709">
          <w:tab w:val="left" w:pos="426" w:leader="none"/>
        </w:tabs>
        <w:rPr>
          <w:rFonts w:ascii="Times New Roman" w:hAnsi="Times New Roman"/>
          <w:color w:val="000000"/>
        </w:rPr>
      </w:pPr>
      <w:r>
        <w:rPr>
          <w:rFonts w:ascii="Times New Roman" w:hAnsi="Times New Roman"/>
          <w:color w:val="000000"/>
        </w:rPr>
        <w:t>20.1. O objeto desta licitação deverá ser entregue parceladamente, mediante a expedição de solicitação de fornecimento pelo Setor Compras, a qual deverá ser atendida no prazo de 05 (cinco) dias a contar da data do recebimento da ordem de fornecimento e cópia da nota. Os produtos que estiverem em desacordo com as especificações exigidas no instrumento convocatório ou apresentarem vício de qualidade ou impropriedade para uso serão recusados e devolvidos parcial ou totalmente, conforme o caso, e a contratada será obrigada a substituí-los no prazo de 05 (cinco) dias úteis, contados da data de recebimento da notificação escrita, sob pena de incorrer em atraso quanto ao prazo de execução.</w:t>
      </w:r>
    </w:p>
    <w:p>
      <w:pPr>
        <w:pStyle w:val="para37"/>
        <w:spacing w:before="0"/>
        <w:jc w:val="both"/>
        <w:widowControl w:val="0"/>
        <w:tabs defTabSz="709">
          <w:tab w:val="left" w:pos="426" w:leader="none"/>
        </w:tabs>
        <w:rPr>
          <w:rFonts w:ascii="Times New Roman" w:hAnsi="Times New Roman"/>
        </w:rPr>
      </w:pPr>
      <w:r>
        <w:rPr>
          <w:rFonts w:ascii="Times New Roman" w:hAnsi="Times New Roman"/>
          <w:color w:val="000000"/>
        </w:rPr>
        <w:t>20.2. Todas as despesas de transporte, tributos, frete, carregamento, descarregamento, encargos trabalhistas e previdenciários e outros custos decorrentes direta e indiretamente do fornecimento do objeto desta licitação, correrão por conta exclusiva da contratada.</w:t>
      </w:r>
      <w:r>
        <w:rPr>
          <w:rFonts w:ascii="Times New Roman" w:hAnsi="Times New Roman"/>
        </w:rPr>
      </w:r>
    </w:p>
    <w:p>
      <w:pPr>
        <w:pStyle w:val="para37"/>
        <w:spacing w:before="0"/>
        <w:jc w:val="both"/>
        <w:widowControl w:val="0"/>
        <w:rPr>
          <w:rFonts w:ascii="Times New Roman" w:hAnsi="Times New Roman"/>
          <w:color w:val="000000"/>
        </w:rPr>
      </w:pPr>
      <w:r>
        <w:rPr>
          <w:rFonts w:ascii="Times New Roman" w:hAnsi="Times New Roman"/>
          <w:color w:val="000000"/>
        </w:rPr>
      </w:r>
    </w:p>
    <w:p>
      <w:pPr>
        <w:pStyle w:val="para37"/>
        <w:spacing w:before="0"/>
        <w:jc w:val="both"/>
        <w:widowControl w:val="0"/>
        <w:rPr>
          <w:rFonts w:ascii="Times New Roman" w:hAnsi="Times New Roman"/>
          <w:b/>
          <w:color w:val="000000"/>
        </w:rPr>
      </w:pPr>
      <w:r>
        <w:rPr>
          <w:rFonts w:ascii="Times New Roman" w:hAnsi="Times New Roman"/>
          <w:b/>
          <w:color w:val="000000"/>
        </w:rPr>
        <w:t>21 - DA UTILIZAÇÃO DA ATA DE REGISTRO DE PREÇOS POR ÓRGÃO OU ENTIDADES NÃO PARTICIPANTES</w:t>
      </w:r>
    </w:p>
    <w:p>
      <w:pPr>
        <w:pStyle w:val="para37"/>
        <w:spacing w:before="0"/>
        <w:jc w:val="both"/>
        <w:widowControl w:val="0"/>
        <w:rPr>
          <w:rFonts w:ascii="Times New Roman" w:hAnsi="Times New Roman"/>
          <w:color w:val="000000"/>
        </w:rPr>
      </w:pPr>
      <w:r>
        <w:rPr>
          <w:rFonts w:ascii="Times New Roman" w:hAnsi="Times New Roman"/>
          <w:color w:val="000000"/>
        </w:rPr>
        <w:t>21.1. Desde que devidamente justificada a vantagem, a ata de registro de preços, durante sua vigência, poderá ser utilizada por qualquer órgão ou entidade da administração pública Municipal que não tenha participado do certame licitatório, mediante anuência do órgão gerenciador.</w:t>
      </w:r>
    </w:p>
    <w:p>
      <w:pPr>
        <w:pStyle w:val="para37"/>
        <w:spacing w:before="0"/>
        <w:jc w:val="both"/>
        <w:widowControl w:val="0"/>
        <w:rPr>
          <w:rFonts w:ascii="Times New Roman" w:hAnsi="Times New Roman"/>
          <w:color w:val="000000"/>
        </w:rPr>
      </w:pPr>
      <w:r>
        <w:rPr>
          <w:rFonts w:ascii="Times New Roman" w:hAnsi="Times New Roman"/>
          <w:color w:val="000000"/>
        </w:rPr>
        <w:t>21.2. Os órgãos e entidades que não participaram do registro de preços, quando desejarem fazer uso da ata de registro de preços, deverão consultar o órgão gerenciador da ata para manifestação sobre a possibilidade de adesão.</w:t>
      </w:r>
    </w:p>
    <w:p>
      <w:pPr>
        <w:pStyle w:val="para37"/>
        <w:spacing w:before="0"/>
        <w:jc w:val="both"/>
        <w:widowControl w:val="0"/>
        <w:rPr>
          <w:rFonts w:ascii="Times New Roman" w:hAnsi="Times New Roman"/>
          <w:color w:val="000000"/>
        </w:rPr>
      </w:pPr>
      <w:r>
        <w:rPr>
          <w:rFonts w:ascii="Times New Roman" w:hAnsi="Times New Roman"/>
          <w:color w:val="000000"/>
        </w:rPr>
        <w:t>21.3. O instrumento convocatório preverá que o quantitativo decorrente das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w:t>
      </w:r>
    </w:p>
    <w:p>
      <w:pPr>
        <w:pStyle w:val="para37"/>
        <w:spacing w:before="0"/>
        <w:jc w:val="both"/>
        <w:widowControl w:val="0"/>
        <w:rPr>
          <w:rFonts w:ascii="Times New Roman" w:hAnsi="Times New Roman"/>
          <w:color w:val="000000"/>
        </w:rPr>
      </w:pPr>
      <w:r>
        <w:rPr>
          <w:rFonts w:ascii="Times New Roman" w:hAnsi="Times New Roman"/>
          <w:color w:val="000000"/>
        </w:rPr>
      </w:r>
    </w:p>
    <w:p>
      <w:pPr>
        <w:spacing w:before="0"/>
        <w:jc w:val="both"/>
        <w:rPr>
          <w:b/>
          <w:bCs/>
          <w:color w:val="000000"/>
          <w:sz w:val="22"/>
          <w:szCs w:val="22"/>
        </w:rPr>
      </w:pPr>
      <w:r>
        <w:rPr>
          <w:b/>
          <w:bCs/>
          <w:color w:val="000000"/>
          <w:sz w:val="22"/>
          <w:szCs w:val="22"/>
        </w:rPr>
        <w:t>22 - DAS DISPOSIÇÕES FINAIS</w:t>
      </w:r>
    </w:p>
    <w:p>
      <w:pPr>
        <w:spacing w:before="0"/>
        <w:jc w:val="both"/>
        <w:rPr>
          <w:color w:val="000000"/>
          <w:sz w:val="22"/>
          <w:szCs w:val="22"/>
        </w:rPr>
      </w:pPr>
      <w:r>
        <w:rPr>
          <w:color w:val="000000"/>
          <w:sz w:val="22"/>
          <w:szCs w:val="22"/>
        </w:rPr>
        <w:t>22.1.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22.2.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22.3.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22.4.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22.5.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22.6.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22.7.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22.8.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22.9. Os casos não previstos neste Edital serão decididos pelo pregoeiro. </w:t>
      </w:r>
    </w:p>
    <w:p>
      <w:pPr>
        <w:spacing w:before="0"/>
        <w:jc w:val="both"/>
        <w:rPr>
          <w:color w:val="000000"/>
          <w:sz w:val="22"/>
          <w:szCs w:val="22"/>
        </w:rPr>
      </w:pPr>
      <w:r>
        <w:rPr>
          <w:color w:val="000000"/>
          <w:sz w:val="22"/>
          <w:szCs w:val="22"/>
        </w:rPr>
        <w:t>22.10. A participação do licitante nesta licitação, implica aceitação de todos os termos deste Edital.</w:t>
      </w:r>
    </w:p>
    <w:p>
      <w:pPr>
        <w:spacing w:before="0"/>
        <w:jc w:val="both"/>
        <w:rPr>
          <w:color w:val="000000"/>
          <w:sz w:val="22"/>
          <w:szCs w:val="22"/>
        </w:rPr>
      </w:pPr>
      <w:r>
        <w:rPr>
          <w:color w:val="000000"/>
          <w:sz w:val="22"/>
          <w:szCs w:val="22"/>
        </w:rPr>
        <w:t>22.11.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22.12.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22.13.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22.14. No caso de desfazimento do processo licitatório, fica assegurada a ampla defesa e o contraditório.</w:t>
      </w:r>
    </w:p>
    <w:p>
      <w:pPr>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São Domingos do Norte/ES, 06 de abril de 2020.</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Pregoeiro PMSDN</w:t>
      </w:r>
    </w:p>
    <w:p>
      <w:pPr>
        <w:pStyle w:val="para25"/>
        <w:spacing w:before="0" w:after="0"/>
        <w:jc w:val="both"/>
        <w:rPr>
          <w:b/>
          <w:color w:val="000000"/>
          <w:sz w:val="22"/>
          <w:szCs w:val="22"/>
        </w:rPr>
      </w:pPr>
      <w:r>
        <w:rPr>
          <w:b/>
          <w:color w:val="000000"/>
          <w:sz w:val="22"/>
          <w:szCs w:val="22"/>
        </w:rPr>
      </w:r>
    </w:p>
    <w:p>
      <w:pPr>
        <w:pStyle w:val="para25"/>
        <w:spacing w:before="0" w:after="0"/>
        <w:jc w:val="both"/>
        <w:rPr>
          <w:b/>
          <w:color w:val="000000"/>
          <w:sz w:val="22"/>
          <w:szCs w:val="22"/>
        </w:rPr>
      </w:pPr>
      <w:r>
        <w:rPr>
          <w:b/>
          <w:color w:val="000000"/>
          <w:sz w:val="22"/>
          <w:szCs w:val="22"/>
        </w:rPr>
      </w:r>
    </w:p>
    <w:p>
      <w:pPr>
        <w:pStyle w:val="para25"/>
        <w:spacing w:before="0" w:after="0"/>
        <w:jc w:val="both"/>
        <w:rPr>
          <w:b/>
          <w:color w:val="000000"/>
          <w:sz w:val="22"/>
          <w:szCs w:val="22"/>
        </w:rPr>
      </w:pPr>
      <w:r>
        <w:rPr>
          <w:b/>
          <w:color w:val="000000"/>
          <w:sz w:val="22"/>
          <w:szCs w:val="22"/>
        </w:rPr>
      </w:r>
    </w:p>
    <w:p>
      <w:pPr>
        <w:pStyle w:val="para25"/>
        <w:spacing w:before="0" w:after="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Ricardo Vieira da Silva</w:t>
      </w:r>
    </w:p>
    <w:p>
      <w:pPr>
        <w:spacing w:before="0"/>
        <w:jc w:val="both"/>
        <w:rPr>
          <w:sz w:val="22"/>
          <w:szCs w:val="22"/>
        </w:rPr>
      </w:pPr>
      <w:r>
        <w:rPr>
          <w:sz w:val="22"/>
          <w:szCs w:val="22"/>
        </w:rPr>
        <w:t>Evanderson Aragão Colombo</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Paulo César Bruni</w:t>
      </w:r>
    </w:p>
    <w:p>
      <w:pPr>
        <w:spacing w:before="0"/>
        <w:jc w:val="both"/>
        <w:rPr>
          <w:sz w:val="22"/>
          <w:szCs w:val="22"/>
        </w:rPr>
      </w:pPr>
      <w:r>
        <w:rPr>
          <w:sz w:val="22"/>
          <w:szCs w:val="22"/>
        </w:rPr>
        <w:t>Lúcia Claudia Pestana Giovanelli</w:t>
      </w:r>
    </w:p>
    <w:p>
      <w:pPr>
        <w:spacing w:before="0"/>
        <w:jc w:val="both"/>
        <w:rPr>
          <w:sz w:val="22"/>
          <w:szCs w:val="22"/>
        </w:rPr>
      </w:pPr>
      <w:r>
        <w:rPr>
          <w:sz w:val="22"/>
          <w:szCs w:val="22"/>
        </w:rPr>
        <w:t>Roque Siqueira Gomes</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bookmarkStart w:id="0" w:name="_GoBack"/>
      <w:bookmarkEnd w:id="0"/>
      <w:r/>
      <w:r>
        <w:rPr>
          <w:b/>
          <w:color w:val="000000"/>
          <w:sz w:val="22"/>
          <w:szCs w:val="22"/>
        </w:rPr>
      </w:r>
    </w:p>
    <w:p>
      <w:pPr>
        <w:spacing w:before="0"/>
        <w:jc w:val="both"/>
        <w:rPr>
          <w:b/>
          <w:color w:val="000000"/>
          <w:sz w:val="22"/>
          <w:szCs w:val="22"/>
        </w:rPr>
      </w:pPr>
      <w:r>
        <w:rPr>
          <w:b/>
          <w:color w:val="000000"/>
          <w:sz w:val="22"/>
          <w:szCs w:val="22"/>
        </w:rPr>
      </w:r>
    </w:p>
    <w:p>
      <w:pPr>
        <w:spacing w:before="0"/>
        <w:rPr>
          <w:b/>
          <w:color w:val="000000"/>
          <w:sz w:val="22"/>
          <w:szCs w:val="22"/>
        </w:rPr>
      </w:pPr>
      <w:r>
        <w:rPr>
          <w:b/>
          <w:color w:val="000000"/>
          <w:sz w:val="22"/>
          <w:szCs w:val="22"/>
        </w:rPr>
        <w:t>ANEXO I</w:t>
      </w:r>
    </w:p>
    <w:p>
      <w:pPr>
        <w:spacing w:before="0"/>
        <w:rPr>
          <w:b/>
          <w:color w:val="000000"/>
          <w:sz w:val="22"/>
          <w:szCs w:val="22"/>
        </w:rPr>
      </w:pPr>
      <w:r>
        <w:rPr>
          <w:b/>
          <w:color w:val="000000"/>
          <w:sz w:val="22"/>
          <w:szCs w:val="22"/>
        </w:rPr>
        <w:t>(ver em pdf)</w:t>
      </w:r>
    </w:p>
    <w:p>
      <w:pPr>
        <w:pStyle w:val="para37"/>
        <w:spacing w:before="0"/>
        <w:jc w:val="both"/>
        <w:rPr>
          <w:rFonts w:ascii="Times New Roman" w:hAnsi="Times New Roman"/>
          <w:color w:val="000000"/>
        </w:rPr>
      </w:pPr>
      <w:r>
        <w:rPr>
          <w:rFonts w:ascii="Times New Roman" w:hAnsi="Times New Roman"/>
          <w:color w:val="000000"/>
        </w:rPr>
      </w:r>
    </w:p>
    <w:p>
      <w:pPr>
        <w:pStyle w:val="para37"/>
        <w:spacing w:before="0"/>
        <w:jc w:val="both"/>
        <w:rPr>
          <w:rFonts w:ascii="Times New Roman" w:hAnsi="Times New Roman"/>
          <w:color w:val="000000"/>
        </w:rPr>
      </w:pPr>
      <w:r>
        <w:rPr>
          <w:rFonts w:ascii="Times New Roman" w:hAnsi="Times New Roman"/>
          <w:color w:val="000000"/>
        </w:rPr>
      </w:r>
    </w:p>
    <w:p>
      <w:pPr>
        <w:spacing w:before="0"/>
        <w:jc w:val="both"/>
        <w:rPr>
          <w:color w:val="000000"/>
          <w:sz w:val="22"/>
          <w:szCs w:val="22"/>
        </w:rPr>
      </w:pPr>
      <w:r>
        <w:rPr>
          <w:color w:val="000000"/>
          <w:sz w:val="22"/>
          <w:szCs w:val="22"/>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spacing w:before="0"/>
        <w:jc w:val="both"/>
        <w:rPr>
          <w:b/>
          <w:color w:val="000000"/>
          <w:sz w:val="22"/>
          <w:szCs w:val="22"/>
          <w:u w:color="auto" w:val="single"/>
        </w:rPr>
      </w:pPr>
      <w:r>
        <w:rPr>
          <w:b/>
          <w:color w:val="000000"/>
          <w:sz w:val="22"/>
          <w:szCs w:val="22"/>
          <w:u w:color="auto" w:val="single"/>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11/2020 - SRP</w:t>
      </w:r>
    </w:p>
    <w:p>
      <w:pPr>
        <w:pStyle w:val="para33"/>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ANEXO II - CARTA DE CREDENCIAMENTO</w:t>
      </w:r>
    </w:p>
    <w:p>
      <w:pPr>
        <w:spacing w:before="0"/>
        <w:jc w:val="both"/>
        <w:rPr>
          <w:color w:val="000000"/>
          <w:sz w:val="22"/>
          <w:szCs w:val="22"/>
        </w:rPr>
      </w:pPr>
      <w:r>
        <w:rPr>
          <w:color w:val="000000"/>
          <w:sz w:val="22"/>
          <w:szCs w:val="22"/>
        </w:rPr>
      </w:r>
    </w:p>
    <w:p>
      <w:pPr>
        <w:spacing w:before="0"/>
        <w:jc w:val="both"/>
        <w:rPr>
          <w:rFonts w:eastAsia="BookmanOldStyle"/>
          <w:color w:val="000000"/>
          <w:sz w:val="22"/>
          <w:szCs w:val="22"/>
        </w:rPr>
      </w:pPr>
      <w:r>
        <w:rPr>
          <w:rFonts w:eastAsia="BookmanOldStyle"/>
          <w:color w:val="000000"/>
          <w:sz w:val="22"/>
          <w:szCs w:val="22"/>
        </w:rPr>
        <w:t>Ao</w:t>
      </w:r>
    </w:p>
    <w:p>
      <w:pPr>
        <w:spacing w:before="0"/>
        <w:jc w:val="both"/>
        <w:rPr>
          <w:rFonts w:eastAsia="BookmanOldStyle"/>
          <w:color w:val="000000"/>
          <w:sz w:val="22"/>
          <w:szCs w:val="22"/>
        </w:rPr>
      </w:pPr>
      <w:r>
        <w:rPr>
          <w:rFonts w:eastAsia="BookmanOldStyle"/>
          <w:color w:val="000000"/>
          <w:sz w:val="22"/>
          <w:szCs w:val="22"/>
        </w:rPr>
        <w:t>Pregoeiro e/ou Equipe de Apoio</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Prefeitura Municipal de São Domingos do Norte/ES</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Prezados Senhores,</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color w:val="000000"/>
          <w:sz w:val="22"/>
          <w:szCs w:val="22"/>
        </w:rPr>
      </w:pPr>
      <w:r>
        <w:rPr>
          <w:color w:val="000000"/>
          <w:sz w:val="22"/>
          <w:szCs w:val="22"/>
        </w:rPr>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Atenciosamente,</w:t>
      </w:r>
    </w:p>
    <w:p>
      <w:pPr>
        <w:spacing w:before="0"/>
        <w:jc w:val="both"/>
        <w:rPr>
          <w:rFonts w:eastAsia="BookmanOldStyle"/>
          <w:color w:val="000000"/>
          <w:sz w:val="22"/>
          <w:szCs w:val="22"/>
        </w:rPr>
      </w:pPr>
      <w:r>
        <w:rPr>
          <w:rFonts w:eastAsia="BookmanOldStyle"/>
          <w:color w:val="000000"/>
          <w:sz w:val="22"/>
          <w:szCs w:val="22"/>
        </w:rPr>
      </w:r>
    </w:p>
    <w:p>
      <w:pPr>
        <w:spacing w:before="0"/>
        <w:jc w:val="both"/>
        <w:rPr>
          <w:rFonts w:eastAsia="BookmanOldStyle"/>
          <w:color w:val="000000"/>
          <w:sz w:val="22"/>
          <w:szCs w:val="22"/>
        </w:rPr>
      </w:pPr>
      <w:r>
        <w:rPr>
          <w:rFonts w:eastAsia="BookmanOldStyle"/>
          <w:color w:val="000000"/>
          <w:sz w:val="22"/>
          <w:szCs w:val="22"/>
        </w:rPr>
        <w:t>....................................., .......... de ..................... de 2020.</w:t>
      </w:r>
    </w:p>
    <w:p>
      <w:pPr>
        <w:spacing w:before="0"/>
        <w:jc w:val="both"/>
        <w:rPr>
          <w:rFonts w:eastAsia="BookmanOldStyle"/>
          <w:color w:val="000000"/>
          <w:sz w:val="22"/>
          <w:szCs w:val="22"/>
        </w:rPr>
      </w:pPr>
      <w:r>
        <w:rPr>
          <w:rFonts w:eastAsia="BookmanOldStyle"/>
          <w:color w:val="000000"/>
          <w:sz w:val="22"/>
          <w:szCs w:val="22"/>
        </w:rPr>
      </w:r>
    </w:p>
    <w:p>
      <w:pPr>
        <w:spacing w:before="0"/>
        <w:jc w:val="both"/>
        <w:rPr>
          <w:color w:val="000000"/>
          <w:sz w:val="22"/>
          <w:szCs w:val="22"/>
        </w:rPr>
      </w:pPr>
      <w:r>
        <w:rPr>
          <w:color w:val="000000"/>
          <w:sz w:val="22"/>
          <w:szCs w:val="22"/>
        </w:rPr>
        <w:t>.......................................................................................</w:t>
      </w:r>
    </w:p>
    <w:p>
      <w:pPr>
        <w:spacing w:before="0"/>
        <w:jc w:val="both"/>
        <w:rPr>
          <w:rFonts w:eastAsia="BookmanOldStyle"/>
          <w:color w:val="000000"/>
          <w:sz w:val="22"/>
          <w:szCs w:val="22"/>
        </w:rPr>
      </w:pPr>
      <w:r>
        <w:rPr>
          <w:rFonts w:eastAsia="BookmanOldStyle"/>
          <w:color w:val="000000"/>
          <w:sz w:val="22"/>
          <w:szCs w:val="22"/>
        </w:rPr>
        <w:t>(Assinatura do representante legal da empresa)</w:t>
      </w:r>
    </w:p>
    <w:p>
      <w:pPr>
        <w:spacing w:before="0"/>
        <w:jc w:val="both"/>
        <w:rPr>
          <w:rFonts w:eastAsia="BookmanOldStyle"/>
          <w:color w:val="000000"/>
          <w:sz w:val="22"/>
          <w:szCs w:val="22"/>
        </w:rPr>
      </w:pPr>
      <w:r>
        <w:rPr>
          <w:rFonts w:eastAsia="BookmanOldStyle"/>
          <w:color w:val="000000"/>
          <w:sz w:val="22"/>
          <w:szCs w:val="22"/>
        </w:rPr>
      </w:r>
    </w:p>
    <w:p>
      <w:pPr>
        <w:spacing w:before="0"/>
        <w:jc w:val="both"/>
        <w:rPr>
          <w:color w:val="000000"/>
          <w:sz w:val="22"/>
          <w:szCs w:val="22"/>
        </w:rPr>
      </w:pPr>
      <w:r>
        <w:rPr>
          <w:rFonts w:eastAsia="BookmanOldStyle"/>
          <w:b/>
          <w:color w:val="000000"/>
          <w:sz w:val="22"/>
          <w:szCs w:val="22"/>
        </w:rPr>
        <w:t>Observação:</w:t>
      </w:r>
      <w:r>
        <w:rPr>
          <w:rFonts w:eastAsia="BookmanOldStyle"/>
          <w:color w:val="000000"/>
          <w:sz w:val="22"/>
          <w:szCs w:val="22"/>
        </w:rPr>
        <w:t xml:space="preserve"> Esta carta deverá ser entregue ao Pregoeiro (a) e/ou Equipe de Apoio pessoalmente pelo representante credenciado, até impreterivelmente a hora marcada para inicio da licitação, prevista no presente Edital e</w:t>
      </w:r>
      <w:r>
        <w:rPr>
          <w:color w:val="000000"/>
          <w:sz w:val="22"/>
          <w:szCs w:val="22"/>
        </w:rPr>
        <w:t xml:space="preserve"> só terá validade se estiver acompanhada da Certidão Simplificada da Junta Comercial expedida em até 120 (cento e vinte) dias anterior à abertura do certame, que comprove tal situação do representante legal da empresa.</w:t>
      </w:r>
    </w:p>
    <w:p>
      <w:pPr>
        <w:spacing w:before="0"/>
        <w:jc w:val="both"/>
        <w:rPr>
          <w:rFonts w:eastAsia="BookmanOldStyle"/>
          <w:color w:val="000000"/>
          <w:sz w:val="22"/>
          <w:szCs w:val="22"/>
        </w:rPr>
      </w:pPr>
      <w:r>
        <w:rPr>
          <w:rFonts w:eastAsia="BookmanOldStyle"/>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11/2020 - SRP</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ANEXO III - PROPOSTA COMERCIAL</w:t>
      </w:r>
    </w:p>
    <w:p>
      <w:pPr>
        <w:spacing w:before="0"/>
        <w:jc w:val="both"/>
        <w:rPr>
          <w:b/>
          <w:color w:val="000000"/>
          <w:sz w:val="22"/>
          <w:szCs w:val="22"/>
        </w:rPr>
      </w:pPr>
      <w:r>
        <w:rPr>
          <w:b/>
          <w:color w:val="000000"/>
          <w:sz w:val="22"/>
          <w:szCs w:val="22"/>
        </w:rPr>
        <w:t>(modelo anexo I ver em pdf)</w:t>
      </w:r>
    </w:p>
    <w:p>
      <w:pPr>
        <w:spacing w:before="0"/>
        <w:jc w:val="both"/>
        <w:rPr>
          <w:b/>
          <w:color w:val="000000"/>
          <w:sz w:val="22"/>
          <w:szCs w:val="22"/>
        </w:rPr>
      </w:pPr>
      <w:r>
        <w:rPr>
          <w:b/>
          <w:color w:val="000000"/>
          <w:sz w:val="22"/>
          <w:szCs w:val="22"/>
        </w:rPr>
      </w:r>
    </w:p>
    <w:p>
      <w:pPr>
        <w:pStyle w:val="para25"/>
        <w:spacing w:before="0" w:after="0"/>
        <w:jc w:val="both"/>
        <w:rPr>
          <w:color w:val="000000"/>
          <w:sz w:val="22"/>
          <w:szCs w:val="22"/>
        </w:rPr>
      </w:pPr>
      <w:r>
        <w:rPr>
          <w:color w:val="000000"/>
          <w:sz w:val="22"/>
          <w:szCs w:val="22"/>
        </w:rPr>
        <w:t>Empresa: .........................................................................</w:t>
      </w:r>
    </w:p>
    <w:p>
      <w:pPr>
        <w:pStyle w:val="para25"/>
        <w:spacing w:before="0" w:after="0"/>
        <w:jc w:val="both"/>
        <w:rPr>
          <w:color w:val="000000"/>
          <w:sz w:val="22"/>
          <w:szCs w:val="22"/>
        </w:rPr>
      </w:pPr>
      <w:r>
        <w:rPr>
          <w:color w:val="000000"/>
          <w:sz w:val="22"/>
          <w:szCs w:val="22"/>
        </w:rPr>
        <w:t>À Prefeitura Municipal de São Domingos do Norte</w:t>
      </w:r>
    </w:p>
    <w:p>
      <w:pPr>
        <w:pStyle w:val="para25"/>
        <w:spacing w:before="0" w:after="0"/>
        <w:jc w:val="both"/>
        <w:rPr>
          <w:color w:val="000000"/>
          <w:sz w:val="22"/>
          <w:szCs w:val="22"/>
        </w:rPr>
      </w:pPr>
      <w:r>
        <w:rPr>
          <w:color w:val="000000"/>
          <w:sz w:val="22"/>
          <w:szCs w:val="22"/>
        </w:rPr>
        <w:t>PREGÃO PRESENCIAL Nº 11/2020 - SRP</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Prezados Senhores:</w:t>
      </w:r>
    </w:p>
    <w:p>
      <w:pPr>
        <w:pStyle w:val="para25"/>
        <w:spacing w:before="0" w:after="0"/>
        <w:jc w:val="both"/>
        <w:rPr>
          <w:color w:val="000000"/>
          <w:sz w:val="22"/>
          <w:szCs w:val="22"/>
        </w:rPr>
      </w:pPr>
      <w:r>
        <w:rPr>
          <w:color w:val="000000"/>
          <w:sz w:val="22"/>
          <w:szCs w:val="22"/>
        </w:rPr>
        <w:t>Pela presente formulamos Proposta Comercial para fornecimento dos supracitados, de acordo com todas as condições do PREGÃO PRESENCIAL Nº 11/2020 - SRP e seus anexos.</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5"/>
        <w:spacing w:before="0" w:after="0"/>
        <w:jc w:val="both"/>
        <w:rPr>
          <w:color w:val="000000"/>
          <w:sz w:val="22"/>
          <w:szCs w:val="22"/>
        </w:rPr>
      </w:pPr>
      <w:r>
        <w:rPr>
          <w:color w:val="000000"/>
          <w:sz w:val="22"/>
          <w:szCs w:val="22"/>
        </w:rPr>
        <w:t>a) O prazo de validade da presente proposta é de 12 meses conforme a ata de registro de preço.</w:t>
      </w:r>
    </w:p>
    <w:p>
      <w:pPr>
        <w:pStyle w:val="para25"/>
        <w:spacing w:before="0" w:after="0"/>
        <w:jc w:val="both"/>
        <w:rPr>
          <w:color w:val="000000"/>
          <w:sz w:val="22"/>
          <w:szCs w:val="22"/>
        </w:rPr>
      </w:pPr>
      <w:r>
        <w:rPr>
          <w:color w:val="000000"/>
          <w:sz w:val="22"/>
          <w:szCs w:val="22"/>
        </w:rPr>
        <w:t>b) Os preços ora propostos incluem todas as despesas diretas, indiretas, benefícios, tributos, contribuições, seguros e licenças de modo a se constituírem à única e total contraprestação pela aquisição das mercadorias.</w:t>
      </w:r>
    </w:p>
    <w:p>
      <w:pPr>
        <w:pStyle w:val="para25"/>
        <w:spacing w:before="0" w:after="0"/>
        <w:jc w:val="both"/>
        <w:rPr>
          <w:color w:val="000000"/>
          <w:sz w:val="22"/>
          <w:szCs w:val="22"/>
        </w:rPr>
      </w:pPr>
      <w:r>
        <w:rPr>
          <w:color w:val="000000"/>
          <w:sz w:val="22"/>
          <w:szCs w:val="22"/>
        </w:rPr>
        <w:t>c) A Contratada terá que cumprir todos os requisitos conforme anexo I e Termo de Referência.</w:t>
      </w:r>
    </w:p>
    <w:p>
      <w:pPr>
        <w:spacing w:before="0"/>
        <w:jc w:val="both"/>
        <w:rPr>
          <w:b/>
          <w:bCs/>
          <w:sz w:val="22"/>
          <w:szCs w:val="22"/>
        </w:rPr>
      </w:pPr>
      <w:r>
        <w:rPr>
          <w:sz w:val="22"/>
          <w:szCs w:val="22"/>
        </w:rPr>
        <w:t xml:space="preserve">d) O licitante deverá solicitar mediante ao e-mail </w:t>
      </w:r>
      <w:r>
        <w:rPr>
          <w:b/>
          <w:i/>
          <w:sz w:val="22"/>
          <w:szCs w:val="22"/>
          <w:u w:color="auto"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w:t>
      </w:r>
      <w:r>
        <w:rPr>
          <w:b/>
          <w:bCs/>
          <w:sz w:val="22"/>
          <w:szCs w:val="22"/>
        </w:rPr>
      </w:r>
    </w:p>
    <w:p>
      <w:pPr>
        <w:spacing w:before="0"/>
        <w:jc w:val="both"/>
        <w:rPr>
          <w:color w:val="000000"/>
          <w:sz w:val="22"/>
          <w:szCs w:val="22"/>
        </w:rPr>
      </w:pPr>
      <w:r>
        <w:rPr>
          <w:sz w:val="22"/>
          <w:szCs w:val="22"/>
        </w:rPr>
        <w:t>e)</w:t>
      </w:r>
      <w:r>
        <w:rPr>
          <w:b/>
          <w:bCs/>
          <w:sz w:val="22"/>
          <w:szCs w:val="22"/>
        </w:rPr>
        <w:t xml:space="preserve"> </w:t>
      </w:r>
      <w:r>
        <w:rPr>
          <w:color w:val="000000"/>
          <w:sz w:val="22"/>
          <w:szCs w:val="22"/>
        </w:rPr>
        <w:t>Manifesto cumprir plenamente os requisitos de habilitação e que minha proposta está em conformidade com as exigências do instrumento convocatório.</w:t>
      </w: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Atenciosamente,</w:t>
      </w:r>
    </w:p>
    <w:p>
      <w:pPr>
        <w:pStyle w:val="para25"/>
        <w:spacing w:before="0" w:after="0"/>
        <w:jc w:val="both"/>
        <w:rPr>
          <w:color w:val="000000"/>
          <w:sz w:val="22"/>
          <w:szCs w:val="22"/>
        </w:rPr>
      </w:pPr>
      <w:r>
        <w:rPr>
          <w:color w:val="000000"/>
          <w:sz w:val="22"/>
          <w:szCs w:val="22"/>
        </w:rPr>
        <w:t>.........................................................</w:t>
      </w:r>
    </w:p>
    <w:p>
      <w:pPr>
        <w:pStyle w:val="para25"/>
        <w:spacing w:before="0" w:after="0"/>
        <w:jc w:val="both"/>
        <w:rPr>
          <w:color w:val="000000"/>
          <w:sz w:val="22"/>
          <w:szCs w:val="22"/>
        </w:rPr>
      </w:pPr>
      <w:r>
        <w:rPr>
          <w:color w:val="000000"/>
          <w:sz w:val="22"/>
          <w:szCs w:val="22"/>
        </w:rPr>
        <w:t>Identificação e Assinatura</w:t>
      </w:r>
      <w:r>
        <w:br w:type="page"/>
      </w:r>
    </w:p>
    <w:p>
      <w:pPr>
        <w:spacing w:before="0"/>
        <w:jc w:val="both"/>
        <w:rPr>
          <w:color w:val="000000"/>
          <w:sz w:val="22"/>
          <w:szCs w:val="22"/>
        </w:rPr>
      </w:pPr>
      <w:r>
        <w:rPr>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r>
    </w:p>
    <w:p>
      <w:pPr>
        <w:spacing w:before="0"/>
        <w:rPr>
          <w:b/>
          <w:color w:val="000000"/>
          <w:sz w:val="22"/>
          <w:szCs w:val="22"/>
        </w:rPr>
      </w:pPr>
      <w:r>
        <w:rPr>
          <w:b/>
          <w:color w:val="000000"/>
          <w:sz w:val="22"/>
          <w:szCs w:val="22"/>
        </w:rPr>
        <w:t>PREGÃO PRESENCIAL N</w:t>
      </w:r>
      <w:r>
        <w:rPr>
          <w:b/>
          <w:color w:val="000000"/>
          <w:sz w:val="22"/>
          <w:szCs w:val="22"/>
          <w:u w:color="auto" w:val="single"/>
          <w:vertAlign w:val="superscript"/>
        </w:rPr>
        <w:t>o</w:t>
      </w:r>
      <w:r>
        <w:rPr>
          <w:b/>
          <w:color w:val="000000"/>
          <w:sz w:val="22"/>
          <w:szCs w:val="22"/>
        </w:rPr>
        <w:t xml:space="preserve"> 11/2020 - SRP</w:t>
      </w:r>
    </w:p>
    <w:p>
      <w:pPr>
        <w:spacing w:before="0"/>
        <w:rPr>
          <w:b/>
          <w:color w:val="000000"/>
          <w:sz w:val="22"/>
          <w:szCs w:val="22"/>
        </w:rPr>
      </w:pPr>
      <w:r>
        <w:rPr>
          <w:b/>
          <w:color w:val="000000"/>
          <w:sz w:val="22"/>
          <w:szCs w:val="22"/>
        </w:rPr>
        <w:t>ANEXO IV - EXIGÊNCIAS PARA HABILITAÇÃO</w:t>
      </w:r>
    </w:p>
    <w:p>
      <w:pPr>
        <w:spacing w:before="0"/>
        <w:jc w:val="both"/>
        <w:rPr>
          <w:b/>
          <w:color w:val="000000"/>
          <w:sz w:val="22"/>
          <w:szCs w:val="22"/>
        </w:rPr>
      </w:pP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Para habilitar-se no certame, após a fase de disputa, o licitante vencedor deverá apresentar a seguinte documentação: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1 - DA HABILITAÇÃO</w:t>
      </w:r>
    </w:p>
    <w:p>
      <w:pPr>
        <w:pStyle w:val="para23"/>
        <w:numPr>
          <w:ilvl w:val="0"/>
          <w:numId w:val="0"/>
        </w:numPr>
        <w:ind w:left="0" w:firstLine="0"/>
        <w:spacing w:before="0"/>
        <w:jc w:val="both"/>
        <w:rPr>
          <w:b/>
          <w:bCs/>
          <w:color w:val="000000"/>
          <w:sz w:val="22"/>
          <w:szCs w:val="22"/>
        </w:rPr>
      </w:pPr>
      <w:r>
        <w:rPr>
          <w:b/>
          <w:bCs/>
          <w:color w:val="000000"/>
          <w:sz w:val="22"/>
          <w:szCs w:val="22"/>
        </w:rPr>
      </w:r>
    </w:p>
    <w:p>
      <w:pPr>
        <w:pStyle w:val="para23"/>
        <w:numPr>
          <w:ilvl w:val="1"/>
          <w:numId w:val="15"/>
        </w:numPr>
        <w:ind w:left="420" w:hanging="420"/>
        <w:spacing w:before="0"/>
        <w:jc w:val="both"/>
        <w:rPr>
          <w:b/>
          <w:bCs/>
          <w:color w:val="000000"/>
          <w:sz w:val="22"/>
          <w:szCs w:val="22"/>
        </w:rPr>
      </w:pPr>
      <w:r>
        <w:rPr>
          <w:b/>
          <w:bCs/>
          <w:color w:val="000000"/>
          <w:sz w:val="22"/>
          <w:szCs w:val="22"/>
        </w:rPr>
        <w:t>DA HABILITAÇÃO JURÍDICA</w:t>
      </w:r>
    </w:p>
    <w:p>
      <w:pPr>
        <w:pStyle w:val="para23"/>
        <w:numPr>
          <w:ilvl w:val="0"/>
          <w:numId w:val="0"/>
        </w:numPr>
        <w:ind w:left="0" w:firstLine="0"/>
        <w:spacing w:before="0"/>
        <w:jc w:val="both"/>
        <w:rPr>
          <w:bCs/>
          <w:color w:val="000000"/>
          <w:sz w:val="22"/>
          <w:szCs w:val="22"/>
        </w:rPr>
      </w:pPr>
      <w:r>
        <w:rPr>
          <w:bCs/>
          <w:color w:val="000000"/>
          <w:sz w:val="22"/>
          <w:szCs w:val="22"/>
        </w:rPr>
        <w:t>a) cédula de identidade;</w:t>
      </w:r>
    </w:p>
    <w:p>
      <w:pPr>
        <w:pStyle w:val="para23"/>
        <w:numPr>
          <w:ilvl w:val="0"/>
          <w:numId w:val="0"/>
        </w:numPr>
        <w:ind w:left="0" w:firstLine="0"/>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pPr>
        <w:pStyle w:val="para23"/>
        <w:numPr>
          <w:ilvl w:val="0"/>
          <w:numId w:val="0"/>
        </w:numPr>
        <w:ind w:left="0" w:firstLine="0"/>
        <w:spacing w:before="0"/>
        <w:jc w:val="both"/>
        <w:rPr>
          <w:color w:val="000000"/>
          <w:sz w:val="22"/>
          <w:szCs w:val="22"/>
        </w:rPr>
      </w:pPr>
      <w:r>
        <w:rPr>
          <w:color w:val="000000"/>
          <w:sz w:val="22"/>
          <w:szCs w:val="22"/>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rPr>
          <w:color w:val="000000"/>
          <w:sz w:val="22"/>
          <w:szCs w:val="22"/>
        </w:rPr>
      </w:pPr>
      <w:r>
        <w:rPr>
          <w:color w:val="000000"/>
          <w:sz w:val="22"/>
          <w:szCs w:val="22"/>
        </w:rPr>
        <w:t>d) Inscrição do ato constitutivo no caso de sociedades civis, acompanhada de documentação que identifique a Diretoria em exercício;</w:t>
      </w:r>
    </w:p>
    <w:p>
      <w:pPr>
        <w:pStyle w:val="para23"/>
        <w:numPr>
          <w:ilvl w:val="0"/>
          <w:numId w:val="0"/>
        </w:numPr>
        <w:ind w:left="0" w:firstLine="0"/>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1"/>
          <w:numId w:val="15"/>
        </w:numPr>
        <w:ind w:left="420" w:hanging="420"/>
        <w:spacing w:before="0"/>
        <w:jc w:val="both"/>
        <w:rPr>
          <w:b/>
          <w:bCs/>
          <w:color w:val="000000"/>
          <w:sz w:val="22"/>
          <w:szCs w:val="22"/>
        </w:rPr>
      </w:pPr>
      <w:r>
        <w:rPr>
          <w:b/>
          <w:bCs/>
          <w:color w:val="000000"/>
          <w:sz w:val="22"/>
          <w:szCs w:val="22"/>
        </w:rPr>
        <w:t>DA REGULARIDADE FISCAL</w:t>
      </w:r>
    </w:p>
    <w:p>
      <w:pPr>
        <w:pStyle w:val="para23"/>
        <w:numPr>
          <w:ilvl w:val="0"/>
          <w:numId w:val="0"/>
        </w:numPr>
        <w:ind w:left="0" w:firstLine="0"/>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r>
        <w:rPr>
          <w:b/>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pPr>
        <w:pStyle w:val="para23"/>
        <w:numPr>
          <w:ilvl w:val="0"/>
          <w:numId w:val="0"/>
        </w:numPr>
        <w:ind w:left="0" w:firstLine="0"/>
        <w:spacing w:before="0"/>
        <w:jc w:val="both"/>
        <w:rPr>
          <w:color w:val="000000"/>
          <w:sz w:val="22"/>
          <w:szCs w:val="22"/>
        </w:rPr>
      </w:pPr>
      <w:r>
        <w:rPr>
          <w:color w:val="000000"/>
          <w:sz w:val="22"/>
          <w:szCs w:val="22"/>
        </w:rPr>
        <w:t>e) Prova de regularidade Municipal da sede ou domicilio da empresa;</w:t>
      </w:r>
    </w:p>
    <w:p>
      <w:pPr>
        <w:pStyle w:val="para23"/>
        <w:numPr>
          <w:ilvl w:val="0"/>
          <w:numId w:val="0"/>
        </w:numPr>
        <w:ind w:left="0" w:firstLine="0"/>
        <w:spacing w:before="0"/>
        <w:jc w:val="both"/>
        <w:rPr>
          <w:color w:val="000000"/>
          <w:sz w:val="22"/>
          <w:szCs w:val="22"/>
        </w:rPr>
      </w:pPr>
      <w:r>
        <w:rPr>
          <w:color w:val="000000"/>
          <w:sz w:val="22"/>
          <w:szCs w:val="22"/>
        </w:rPr>
        <w:t>f) Certidão Negativa de débitos junto à Justiça do Trabalho (Lei Federal nº 12.440, de 07 de julho de 2011).</w:t>
      </w:r>
    </w:p>
    <w:p>
      <w:pPr>
        <w:pStyle w:val="para23"/>
        <w:numPr>
          <w:ilvl w:val="0"/>
          <w:numId w:val="0"/>
        </w:numPr>
        <w:ind w:left="0" w:firstLine="0"/>
        <w:spacing w:before="0"/>
        <w:jc w:val="both"/>
        <w:rPr>
          <w:color w:val="000000"/>
          <w:sz w:val="22"/>
          <w:szCs w:val="22"/>
        </w:rPr>
      </w:pPr>
      <w:r>
        <w:rPr>
          <w:color w:val="000000"/>
          <w:sz w:val="22"/>
          <w:szCs w:val="22"/>
        </w:rPr>
        <w:t>g) Prova de regularidade Municipal de São Domingos do Norte;</w:t>
      </w:r>
    </w:p>
    <w:p>
      <w:pPr>
        <w:pStyle w:val="para23"/>
        <w:numPr>
          <w:ilvl w:val="0"/>
          <w:numId w:val="0"/>
        </w:numPr>
        <w:ind w:left="0" w:firstLine="0"/>
        <w:spacing w:before="0"/>
        <w:jc w:val="both"/>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3"/>
        <w:numPr>
          <w:ilvl w:val="0"/>
          <w:numId w:val="0"/>
        </w:numPr>
        <w:ind w:left="0" w:firstLine="0"/>
        <w:spacing w:before="0"/>
        <w:jc w:val="both"/>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pPr>
        <w:pStyle w:val="para23"/>
        <w:numPr>
          <w:ilvl w:val="0"/>
          <w:numId w:val="0"/>
        </w:numPr>
        <w:ind w:left="0" w:firstLine="0"/>
        <w:spacing w:before="0"/>
        <w:jc w:val="both"/>
        <w:rPr>
          <w:color w:val="000000"/>
          <w:sz w:val="22"/>
          <w:szCs w:val="22"/>
        </w:rPr>
      </w:pPr>
      <w:r>
        <w:rPr>
          <w:color w:val="000000"/>
          <w:sz w:val="22"/>
          <w:szCs w:val="22"/>
        </w:rPr>
        <w:t>I – a licitante deverá apresentar, à época da habilitação, todos os documentos exigidos para efeito de comprovação de regularidade fiscal, mesmo que apresentem alguma restrição;</w:t>
      </w:r>
    </w:p>
    <w:p>
      <w:pPr>
        <w:pStyle w:val="para23"/>
        <w:numPr>
          <w:ilvl w:val="0"/>
          <w:numId w:val="0"/>
        </w:numPr>
        <w:ind w:left="0" w:firstLine="0"/>
        <w:spacing w:before="0"/>
        <w:jc w:val="both"/>
        <w:rPr>
          <w:color w:val="000000"/>
          <w:sz w:val="22"/>
          <w:szCs w:val="22"/>
        </w:rPr>
      </w:pPr>
      <w:r>
        <w:rPr>
          <w:color w:val="000000"/>
          <w:sz w:val="22"/>
          <w:szCs w:val="22"/>
        </w:rPr>
        <w:t>II - havendo alguma restrição na comprovação da regularidade fiscal, é assegurado o prazo de 5 (cinco) dias úteis, contados da apresentação dos documentos, para a regularização da documentação, pagamento ou parcelamento do débito, e emissão de eventuais certidões negativas ou positivas com efeito de certidão negativa;</w:t>
      </w:r>
    </w:p>
    <w:p>
      <w:pPr>
        <w:spacing w:before="0"/>
        <w:jc w:val="both"/>
        <w:rPr>
          <w:color w:val="000000"/>
          <w:sz w:val="22"/>
          <w:szCs w:val="22"/>
        </w:rPr>
      </w:pPr>
      <w:r>
        <w:rPr>
          <w:color w:val="000000"/>
          <w:sz w:val="22"/>
          <w:szCs w:val="22"/>
        </w:rPr>
        <w:t>III - o prazo a que se refere o inciso anterior poderá, a critério da Administração Pública, ser prorrogado por igual período;</w:t>
      </w:r>
    </w:p>
    <w:p>
      <w:pPr>
        <w:spacing w:before="0"/>
        <w:jc w:val="both"/>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pPr>
        <w:spacing w:before="0"/>
        <w:jc w:val="both"/>
        <w:rPr>
          <w:color w:val="000000"/>
          <w:sz w:val="22"/>
          <w:szCs w:val="22"/>
        </w:rPr>
      </w:pPr>
      <w:r>
        <w:rPr>
          <w:color w:val="000000"/>
          <w:sz w:val="22"/>
          <w:szCs w:val="22"/>
        </w:rPr>
        <w:t xml:space="preserve">V - na hipótese descrita no inciso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char2"/>
            <w:color w:val="000000"/>
            <w:sz w:val="22"/>
            <w:szCs w:val="22"/>
          </w:rPr>
          <w:t xml:space="preserve">5.172, de 25 de Outubro de </w:t>
        </w:r>
        <w:r>
          <w:rPr>
            <w:rStyle w:val="char2"/>
            <w:color w:val="000000"/>
            <w:sz w:val="22"/>
            <w:szCs w:val="22"/>
          </w:rPr>
          <w:t>1966.</w:t>
        </w:r>
      </w:hyperlink>
      <w:r>
        <w:rPr>
          <w:color w:val="000000"/>
          <w:sz w:val="22"/>
          <w:szCs w:val="22"/>
        </w:rPr>
        <w:t xml:space="preserve"> - CTN;</w:t>
      </w:r>
      <w:r>
        <w:rPr>
          <w:color w:val="000000"/>
          <w:sz w:val="22"/>
          <w:szCs w:val="22"/>
        </w:rPr>
      </w:r>
    </w:p>
    <w:p>
      <w:pPr>
        <w:spacing w:before="0"/>
        <w:jc w:val="both"/>
        <w:rPr>
          <w:color w:val="000000"/>
          <w:sz w:val="22"/>
          <w:szCs w:val="22"/>
        </w:rPr>
      </w:pPr>
      <w:r>
        <w:rPr>
          <w:color w:val="000000"/>
          <w:sz w:val="22"/>
          <w:szCs w:val="22"/>
        </w:rPr>
        <w:t>VI - O prazo a que se refere o inciso anterior poderá, a critério da Administração Pública, ser prorrogado por igual período, uma única vez, se demonstrado pela licitante a impossibilidade de o órgão competente emitir a certidão;</w:t>
      </w:r>
    </w:p>
    <w:p>
      <w:pPr>
        <w:spacing w:before="0"/>
        <w:jc w:val="both"/>
        <w:rPr>
          <w:color w:val="000000"/>
          <w:sz w:val="22"/>
          <w:szCs w:val="22"/>
        </w:rPr>
      </w:pPr>
      <w:r>
        <w:rPr>
          <w:color w:val="000000"/>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pPr>
        <w:spacing w:before="0"/>
        <w:jc w:val="both"/>
        <w:rPr>
          <w:color w:val="000000"/>
          <w:sz w:val="22"/>
          <w:szCs w:val="22"/>
        </w:rPr>
      </w:pPr>
      <w:r>
        <w:rPr>
          <w:color w:val="000000"/>
          <w:sz w:val="22"/>
          <w:szCs w:val="22"/>
        </w:rPr>
      </w:r>
    </w:p>
    <w:p>
      <w:pPr>
        <w:pStyle w:val="para23"/>
        <w:numPr>
          <w:ilvl w:val="0"/>
          <w:numId w:val="0"/>
        </w:numPr>
        <w:ind w:left="279"/>
        <w:spacing w:before="0"/>
        <w:jc w:val="both"/>
        <w:rPr>
          <w:b/>
          <w:bCs/>
          <w:color w:val="000000"/>
          <w:sz w:val="22"/>
          <w:szCs w:val="22"/>
        </w:rPr>
      </w:pPr>
      <w:r>
        <w:rPr>
          <w:b/>
          <w:bCs/>
          <w:color w:val="000000"/>
          <w:sz w:val="22"/>
          <w:szCs w:val="22"/>
        </w:rPr>
        <w:t>1.3 - DA QUALIFICAÇÃO TÉCNICA</w:t>
      </w:r>
    </w:p>
    <w:p>
      <w:pPr>
        <w:pStyle w:val="para23"/>
        <w:numPr>
          <w:ilvl w:val="0"/>
          <w:numId w:val="0"/>
        </w:numPr>
        <w:ind w:left="0" w:firstLine="0"/>
        <w:spacing w:before="0"/>
        <w:jc w:val="both"/>
        <w:rPr>
          <w:color w:val="000000"/>
          <w:sz w:val="22"/>
          <w:szCs w:val="22"/>
        </w:rPr>
      </w:pPr>
      <w:r>
        <w:rPr>
          <w:color w:val="000000"/>
          <w:sz w:val="22"/>
          <w:szCs w:val="22"/>
        </w:rPr>
        <w:t>a) Comprovação de que a licitante forneceu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b/>
          <w:bCs/>
          <w:color w:val="000000"/>
          <w:sz w:val="22"/>
          <w:szCs w:val="22"/>
        </w:rPr>
      </w:pPr>
      <w:r>
        <w:rPr>
          <w:b/>
          <w:bCs/>
          <w:color w:val="000000"/>
          <w:sz w:val="22"/>
          <w:szCs w:val="22"/>
        </w:rPr>
        <w:t>1.4 - DA QUALIFICAÇÃO ECONÔMICO-FINANCEIRA</w:t>
      </w:r>
    </w:p>
    <w:p>
      <w:pPr>
        <w:pStyle w:val="para29"/>
        <w:numPr>
          <w:ilvl w:val="0"/>
          <w:numId w:val="0"/>
        </w:numPr>
        <w:ind w:left="0" w:firstLine="0"/>
        <w:spacing w:before="0" w:after="0"/>
        <w:jc w:val="both"/>
        <w:rPr>
          <w:sz w:val="22"/>
          <w:szCs w:val="22"/>
        </w:rPr>
      </w:pPr>
      <w:r>
        <w:rPr>
          <w:b/>
          <w:sz w:val="22"/>
          <w:szCs w:val="22"/>
        </w:rPr>
        <w:t xml:space="preserve">a) </w:t>
      </w:r>
      <w:r>
        <w:rPr>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rPr>
          <w:sz w:val="22"/>
          <w:szCs w:val="22"/>
        </w:rPr>
      </w:pPr>
      <w:r>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1.5 – DA DECLARAÇÃO DE ATENDIMENTO AO INCISO XXXIII, ART. 7º, DA CONSTITUIÇÃO FEDERAL.</w:t>
      </w:r>
    </w:p>
    <w:p>
      <w:pPr>
        <w:pStyle w:val="para23"/>
        <w:numPr>
          <w:ilvl w:val="0"/>
          <w:numId w:val="0"/>
        </w:numPr>
        <w:ind w:left="0" w:firstLine="0"/>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pStyle w:val="para23"/>
        <w:numPr>
          <w:ilvl w:val="0"/>
          <w:numId w:val="0"/>
        </w:numPr>
        <w:ind w:left="0" w:firstLine="0"/>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1.6 - DA COMPROVAÇÃO DA CONDIÇÃO DE MICROEMPRESAS OU EMPRESAS DE PEQUENO PORTE OU EQUIPARADAS</w:t>
      </w:r>
    </w:p>
    <w:p>
      <w:pPr>
        <w:pStyle w:val="para23"/>
        <w:numPr>
          <w:ilvl w:val="0"/>
          <w:numId w:val="0"/>
        </w:numPr>
        <w:ind w:left="0" w:firstLine="0"/>
        <w:spacing w:before="0"/>
        <w:jc w:val="both"/>
        <w:rPr>
          <w:color w:val="000000"/>
          <w:sz w:val="22"/>
          <w:szCs w:val="22"/>
        </w:rPr>
      </w:pPr>
      <w:r>
        <w:rPr>
          <w:color w:val="000000"/>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rPr>
          <w:color w:val="000000"/>
          <w:sz w:val="22"/>
          <w:szCs w:val="22"/>
        </w:rPr>
      </w:pPr>
      <w:r>
        <w:rPr>
          <w:color w:val="000000"/>
          <w:sz w:val="22"/>
          <w:szCs w:val="22"/>
        </w:rPr>
        <w:t>1.6.2. Declaração, firmada pelo representante legal da empresa, de não haver nenhum dos impedimentos previstos do § 4º do Art. 3º da LC 123/06.</w:t>
      </w:r>
    </w:p>
    <w:p>
      <w:pPr>
        <w:pStyle w:val="para23"/>
        <w:numPr>
          <w:ilvl w:val="0"/>
          <w:numId w:val="0"/>
        </w:numPr>
        <w:ind w:left="0" w:firstLine="0"/>
        <w:spacing w:before="0"/>
        <w:jc w:val="both"/>
        <w:rPr>
          <w:sz w:val="22"/>
          <w:szCs w:val="22"/>
        </w:rPr>
      </w:pPr>
      <w:r>
        <w:rPr>
          <w:color w:val="000000"/>
          <w:sz w:val="22"/>
          <w:szCs w:val="22"/>
        </w:rPr>
        <w:t xml:space="preserve">1.6.3. Anexo XI </w:t>
      </w:r>
      <w:r>
        <w:rPr>
          <w:sz w:val="22"/>
          <w:szCs w:val="22"/>
        </w:rPr>
        <w:t>do presente Edital.</w:t>
      </w:r>
    </w:p>
    <w:p>
      <w:pPr>
        <w:pStyle w:val="para23"/>
        <w:numPr>
          <w:ilvl w:val="0"/>
          <w:numId w:val="0"/>
        </w:numPr>
        <w:ind w:left="0" w:firstLine="0"/>
        <w:spacing w:before="0"/>
        <w:jc w:val="both"/>
        <w:rPr>
          <w:color w:val="000000"/>
          <w:sz w:val="22"/>
          <w:szCs w:val="22"/>
        </w:rPr>
      </w:pPr>
      <w:r>
        <w:rPr>
          <w:color w:val="000000"/>
          <w:sz w:val="22"/>
          <w:szCs w:val="22"/>
        </w:rPr>
        <w:t>1.6.4. Se a comprovação de ME e EPP for apresentada no credenciamento, esta está dispensada de ser apresentada novamente na envelope de Habilitação.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32"/>
        <w:spacing w:before="0" w:after="0"/>
        <w:jc w:val="both"/>
        <w:rPr>
          <w:i w:val="0"/>
          <w:iCs w:val="0"/>
          <w:color w:val="000000"/>
          <w:sz w:val="22"/>
          <w:szCs w:val="22"/>
        </w:rPr>
      </w:pPr>
      <w:r>
        <w:rPr>
          <w:i w:val="0"/>
          <w:iCs w:val="0"/>
          <w:color w:val="000000"/>
          <w:sz w:val="22"/>
          <w:szCs w:val="22"/>
        </w:rPr>
      </w:r>
    </w:p>
    <w:p>
      <w:pPr>
        <w:pStyle w:val="para32"/>
        <w:spacing w:before="0" w:after="0"/>
        <w:jc w:val="both"/>
        <w:rPr>
          <w:i w:val="0"/>
          <w:iCs w:val="0"/>
          <w:color w:val="000000"/>
          <w:sz w:val="22"/>
          <w:szCs w:val="22"/>
        </w:rPr>
      </w:pPr>
      <w:r>
        <w:rPr>
          <w:i w:val="0"/>
          <w:iCs w:val="0"/>
          <w:color w:val="000000"/>
          <w:sz w:val="22"/>
          <w:szCs w:val="22"/>
        </w:rPr>
        <w:t>PREGÃO PRESENCIAL Nº 11/2020 - SRP</w:t>
      </w:r>
    </w:p>
    <w:p>
      <w:pPr>
        <w:pStyle w:val="para32"/>
        <w:spacing w:before="0" w:after="0"/>
        <w:jc w:val="both"/>
        <w:rPr>
          <w:i w:val="0"/>
          <w:iCs w:val="0"/>
          <w:color w:val="000000"/>
          <w:sz w:val="22"/>
          <w:szCs w:val="22"/>
        </w:rPr>
      </w:pPr>
      <w:r>
        <w:rPr>
          <w:i w:val="0"/>
          <w:iCs w:val="0"/>
          <w:color w:val="000000"/>
          <w:sz w:val="22"/>
          <w:szCs w:val="22"/>
        </w:rPr>
      </w:r>
    </w:p>
    <w:p>
      <w:pPr>
        <w:pStyle w:val="para33"/>
        <w:spacing w:before="0"/>
        <w:jc w:val="both"/>
        <w:rPr>
          <w:color w:val="000000"/>
          <w:sz w:val="22"/>
          <w:szCs w:val="22"/>
        </w:rPr>
      </w:pPr>
      <w:r>
        <w:rPr>
          <w:color w:val="000000"/>
          <w:sz w:val="22"/>
          <w:szCs w:val="22"/>
        </w:rPr>
        <w:t>ANEXO V - DECLARAÇÃO DE ATENDIMENTO AO INCISO XXXIII DO ART. 7.º DA CONSTITUIÇÃO FEDERAL</w:t>
      </w:r>
    </w:p>
    <w:p>
      <w:pPr>
        <w:pStyle w:val="para33"/>
        <w:spacing w:before="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color w:val="000000"/>
          <w:sz w:val="22"/>
          <w:szCs w:val="22"/>
        </w:rPr>
      </w:pPr>
      <w:r>
        <w:rPr>
          <w:color w:val="000000"/>
          <w:sz w:val="22"/>
          <w:szCs w:val="22"/>
        </w:rPr>
        <w:t>Ressalva: empregamos menores, a partir de 14 (quatorze) anos, na condição de aprendizes ( ).</w:t>
      </w:r>
    </w:p>
    <w:p>
      <w:pPr>
        <w:pStyle w:val="para25"/>
        <w:spacing w:before="0" w:after="0"/>
        <w:jc w:val="both"/>
        <w:rPr>
          <w:color w:val="000000"/>
          <w:sz w:val="22"/>
          <w:szCs w:val="22"/>
        </w:rPr>
      </w:pPr>
      <w:r>
        <w:rPr>
          <w:color w:val="000000"/>
          <w:sz w:val="22"/>
          <w:szCs w:val="22"/>
        </w:rPr>
        <w:t>Observação: em caso afirmativo, assinalar a ressalva acima.</w:t>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Norte/ES, ......... de ........................ de 2020.</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Licitante interessado</w:t>
      </w:r>
    </w:p>
    <w:p>
      <w:pPr>
        <w:spacing w:before="0"/>
        <w:jc w:val="both"/>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pStyle w:val="para1"/>
        <w:spacing w:before="0"/>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Apresentar na Habilitação</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color w:val="000000"/>
          <w:sz w:val="22"/>
          <w:szCs w:val="22"/>
        </w:rPr>
      </w:pPr>
      <w:r>
        <w:rPr>
          <w:b/>
          <w:color w:val="000000"/>
          <w:sz w:val="22"/>
          <w:szCs w:val="22"/>
        </w:rPr>
        <w:t>ANEXO VI</w:t>
      </w: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color w:val="000000"/>
          <w:sz w:val="22"/>
          <w:szCs w:val="22"/>
        </w:rPr>
      </w:pPr>
      <w:r>
        <w:rPr>
          <w:b/>
          <w:color w:val="000000"/>
          <w:sz w:val="22"/>
          <w:szCs w:val="22"/>
        </w:rPr>
        <w:t>PREGÃO PRESENCIAL Nº 11/2020 - SRP</w:t>
      </w:r>
    </w:p>
    <w:p>
      <w:pPr>
        <w:spacing w:before="0"/>
        <w:jc w:val="both"/>
        <w:rPr>
          <w:b/>
          <w:color w:val="000000"/>
          <w:sz w:val="22"/>
          <w:szCs w:val="22"/>
        </w:rPr>
      </w:pPr>
      <w:r>
        <w:rPr>
          <w:b/>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SÃO DOMINGOS DO NORTE,           de            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t>Assunto: Declaração de atendimento de exigências habilitatórias para participação no Pregão Presencial 11/2020.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color w:val="000000"/>
          <w:sz w:val="22"/>
          <w:szCs w:val="22"/>
        </w:rPr>
      </w:pPr>
      <w:r>
        <w:rPr>
          <w:color w:val="000000"/>
          <w:sz w:val="22"/>
          <w:szCs w:val="22"/>
        </w:rPr>
      </w:r>
    </w:p>
    <w:p>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color w:val="000000"/>
          <w:sz w:val="22"/>
          <w:szCs w:val="22"/>
        </w:rPr>
        <w:t xml:space="preserve"> </w:t>
      </w:r>
      <w:r>
        <w:rPr>
          <w:color w:val="000000"/>
          <w:sz w:val="22"/>
          <w:szCs w:val="22"/>
        </w:rPr>
        <w:t xml:space="preserve">no presente processo licitatório, </w:t>
      </w:r>
      <w:r>
        <w:rPr>
          <w:rStyle w:val="char3"/>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r>
        <w:rPr>
          <w:color w:val="000000"/>
          <w:sz w:val="22"/>
          <w:szCs w:val="22"/>
        </w:rPr>
      </w:r>
    </w:p>
    <w:p>
      <w:pPr>
        <w:spacing w:before="0"/>
        <w:jc w:val="both"/>
        <w:rPr>
          <w:color w:val="000000"/>
          <w:sz w:val="22"/>
          <w:szCs w:val="22"/>
        </w:rPr>
      </w:pPr>
      <w:r>
        <w:rPr>
          <w:color w:val="000000"/>
          <w:sz w:val="22"/>
          <w:szCs w:val="22"/>
        </w:rPr>
        <w:t>(Nome completo por extenso do responsável pela Pessoa Jurídica)</w:t>
      </w:r>
    </w:p>
    <w:p>
      <w:pPr>
        <w:spacing w:before="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(assinatura e carimbo do CNPJ)</w:t>
      </w:r>
    </w:p>
    <w:p>
      <w:pPr>
        <w:spacing w:before="0"/>
        <w:jc w:val="both"/>
        <w:rPr>
          <w:color w:val="000000"/>
          <w:sz w:val="22"/>
          <w:szCs w:val="22"/>
        </w:rPr>
      </w:pPr>
      <w:r>
        <w:rPr>
          <w:color w:val="000000"/>
          <w:sz w:val="22"/>
          <w:szCs w:val="22"/>
        </w:rPr>
      </w:r>
    </w:p>
    <w:p>
      <w:pPr>
        <w:spacing w:before="0"/>
        <w:jc w:val="both"/>
        <w:rPr>
          <w:b/>
          <w:i/>
          <w:color w:val="000000"/>
          <w:sz w:val="22"/>
          <w:szCs w:val="22"/>
        </w:rPr>
      </w:pPr>
      <w:r>
        <w:rPr>
          <w:b/>
          <w:i/>
          <w:color w:val="000000"/>
          <w:sz w:val="22"/>
          <w:szCs w:val="22"/>
        </w:rPr>
        <w:t>* deverá ser apresentado no credenciamento.</w:t>
      </w:r>
    </w:p>
    <w:p>
      <w:pPr>
        <w:pStyle w:val="para1"/>
        <w:spacing w:before="0"/>
        <w:rPr>
          <w:iCs/>
          <w:color w:val="000000"/>
          <w:sz w:val="22"/>
          <w:szCs w:val="22"/>
        </w:rPr>
      </w:pPr>
      <w:r>
        <w:rPr>
          <w:iCs/>
          <w:color w:val="000000"/>
          <w:sz w:val="22"/>
          <w:szCs w:val="22"/>
        </w:rPr>
      </w:r>
    </w:p>
    <w:p>
      <w:r/>
    </w:p>
    <w:p>
      <w:r/>
    </w:p>
    <w:p>
      <w:r/>
    </w:p>
    <w:p>
      <w:r/>
    </w:p>
    <w:p>
      <w:r/>
    </w:p>
    <w:p>
      <w:r/>
    </w:p>
    <w:p>
      <w:r/>
    </w:p>
    <w:p>
      <w:r/>
    </w:p>
    <w:p>
      <w:r/>
    </w:p>
    <w:p>
      <w:r/>
    </w:p>
    <w:p>
      <w:r/>
    </w:p>
    <w:p>
      <w:r/>
    </w:p>
    <w:p>
      <w:pPr>
        <w:spacing w:before="0"/>
        <w:jc w:val="both"/>
        <w:rPr>
          <w:sz w:val="22"/>
          <w:szCs w:val="22"/>
        </w:rPr>
      </w:pPr>
      <w:r>
        <w:rPr>
          <w:sz w:val="22"/>
          <w:szCs w:val="22"/>
        </w:rPr>
      </w:r>
    </w:p>
    <w:p>
      <w:pPr>
        <w:spacing w:before="0"/>
        <w:jc w:val="both"/>
        <w:rPr>
          <w:sz w:val="22"/>
          <w:szCs w:val="22"/>
        </w:rPr>
      </w:pPr>
      <w:r>
        <w:rPr>
          <w:sz w:val="22"/>
          <w:szCs w:val="22"/>
        </w:rPr>
      </w:r>
    </w:p>
    <w:p>
      <w:pPr>
        <w:pStyle w:val="para1"/>
        <w:spacing w:before="0"/>
        <w:rPr>
          <w:iCs/>
          <w:color w:val="000000"/>
          <w:sz w:val="22"/>
          <w:szCs w:val="22"/>
        </w:rPr>
      </w:pPr>
      <w:r>
        <w:rPr>
          <w:iCs/>
          <w:color w:val="000000"/>
          <w:sz w:val="22"/>
          <w:szCs w:val="22"/>
        </w:rPr>
        <w:t>PREGÃO PRESENCIAL N</w:t>
      </w:r>
      <w:r>
        <w:rPr>
          <w:iCs/>
          <w:color w:val="000000"/>
          <w:sz w:val="22"/>
          <w:szCs w:val="22"/>
          <w:u w:color="auto" w:val="single"/>
          <w:vertAlign w:val="superscript"/>
        </w:rPr>
        <w:t>o</w:t>
      </w:r>
      <w:r>
        <w:rPr>
          <w:iCs/>
          <w:color w:val="000000"/>
          <w:sz w:val="22"/>
          <w:szCs w:val="22"/>
        </w:rPr>
        <w:t xml:space="preserve"> 11/2020 </w:t>
      </w:r>
    </w:p>
    <w:p>
      <w:pPr>
        <w:spacing w:before="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ANEXO VII</w:t>
      </w:r>
    </w:p>
    <w:p>
      <w:pPr>
        <w:pStyle w:val="para33"/>
        <w:spacing w:before="0"/>
        <w:jc w:val="both"/>
        <w:rPr>
          <w:color w:val="000000"/>
          <w:sz w:val="22"/>
          <w:szCs w:val="22"/>
        </w:rPr>
      </w:pPr>
      <w:r>
        <w:rPr>
          <w:color w:val="000000"/>
          <w:sz w:val="22"/>
          <w:szCs w:val="22"/>
        </w:rPr>
        <w:t>- DADOS COMPLEMENTARES PARA ASSINATURA DA ATA DE REGISTRO DE PREÇOS -</w:t>
      </w:r>
    </w:p>
    <w:p>
      <w:pPr>
        <w:pStyle w:val="para33"/>
        <w:spacing w:before="0"/>
        <w:jc w:val="both"/>
        <w:rPr>
          <w:color w:val="000000"/>
          <w:sz w:val="22"/>
          <w:szCs w:val="22"/>
        </w:rPr>
      </w:pPr>
      <w:r>
        <w:rPr>
          <w:color w:val="000000"/>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586173328" protected="0"/>
          </w:tcPr>
          <w:p>
            <w:pPr>
              <w:spacing w:before="0"/>
              <w:jc w:val="both"/>
              <w:rPr>
                <w:color w:val="000000"/>
                <w:sz w:val="22"/>
                <w:szCs w:val="22"/>
              </w:rPr>
            </w:pPr>
            <w:r>
              <w:rPr>
                <w:color w:val="000000"/>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86173328" protected="0"/>
          </w:tcPr>
          <w:p>
            <w:pPr>
              <w:spacing w:before="0"/>
              <w:jc w:val="both"/>
              <w:rPr>
                <w:color w:val="000000"/>
                <w:sz w:val="22"/>
                <w:szCs w:val="22"/>
              </w:rPr>
            </w:pPr>
            <w:r>
              <w:rPr>
                <w:color w:val="000000"/>
                <w:sz w:val="22"/>
                <w:szCs w:val="22"/>
              </w:rPr>
              <w:t>N</w:t>
            </w:r>
            <w:r>
              <w:rPr>
                <w:color w:val="000000"/>
                <w:sz w:val="22"/>
                <w:szCs w:val="22"/>
                <w:u w:color="auto" w:val="single"/>
                <w:vertAlign w:val="superscript"/>
              </w:rPr>
              <w:t>o</w:t>
            </w:r>
            <w:r>
              <w:rPr>
                <w:color w:val="000000"/>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86173328" protected="0"/>
          </w:tcPr>
          <w:p>
            <w:pPr>
              <w:spacing w:before="0"/>
              <w:jc w:val="both"/>
              <w:rPr>
                <w:color w:val="000000"/>
                <w:sz w:val="22"/>
                <w:szCs w:val="22"/>
              </w:rPr>
            </w:pPr>
            <w:r>
              <w:rPr>
                <w:color w:val="000000"/>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86173328" protected="0"/>
          </w:tcPr>
          <w:p>
            <w:pPr>
              <w:spacing w:before="0"/>
              <w:jc w:val="both"/>
              <w:rPr>
                <w:color w:val="000000"/>
                <w:sz w:val="22"/>
                <w:szCs w:val="22"/>
              </w:rPr>
            </w:pPr>
            <w:r>
              <w:rPr>
                <w:color w:val="000000"/>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586173328" protected="0"/>
          </w:tcPr>
          <w:p>
            <w:pPr>
              <w:spacing w:before="0"/>
              <w:jc w:val="both"/>
              <w:rPr>
                <w:color w:val="000000"/>
                <w:sz w:val="22"/>
                <w:szCs w:val="22"/>
              </w:rPr>
            </w:pPr>
            <w:r>
              <w:rPr>
                <w:color w:val="000000"/>
                <w:sz w:val="22"/>
                <w:szCs w:val="22"/>
              </w:rPr>
              <w:t>ENDEREÇO COMPLETO DA PESSOA JURÍDICA:</w:t>
            </w:r>
          </w:p>
        </w:tc>
      </w:tr>
    </w:tbl>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r>
    </w:p>
    <w:p>
      <w:pPr>
        <w:pStyle w:val="para28"/>
        <w:spacing w:before="0" w:after="0"/>
        <w:jc w:val="both"/>
        <w:rPr>
          <w:color w:val="000000"/>
          <w:sz w:val="22"/>
          <w:szCs w:val="22"/>
        </w:rPr>
      </w:pPr>
      <w:r>
        <w:rPr>
          <w:color w:val="000000"/>
          <w:sz w:val="22"/>
          <w:szCs w:val="22"/>
        </w:rPr>
        <w:t>São Domingos do Norte, .......... de ...................... de  2020.</w:t>
      </w:r>
    </w:p>
    <w:p>
      <w:pPr>
        <w:pStyle w:val="para28"/>
        <w:spacing w:before="0" w:after="0"/>
        <w:jc w:val="both"/>
        <w:rPr>
          <w:color w:val="000000"/>
          <w:sz w:val="22"/>
          <w:szCs w:val="22"/>
        </w:rPr>
      </w:pPr>
      <w:r>
        <w:rPr>
          <w:color w:val="000000"/>
          <w:sz w:val="22"/>
          <w:szCs w:val="22"/>
        </w:rPr>
      </w:r>
    </w:p>
    <w:p>
      <w:pPr>
        <w:spacing w:before="0"/>
        <w:jc w:val="both"/>
        <w:rPr>
          <w:color w:val="000000"/>
          <w:sz w:val="22"/>
          <w:szCs w:val="22"/>
        </w:rPr>
      </w:pPr>
      <w:r>
        <w:rPr>
          <w:color w:val="000000"/>
          <w:sz w:val="22"/>
          <w:szCs w:val="22"/>
        </w:rPr>
        <w:t>.....................................................................................................</w:t>
      </w:r>
    </w:p>
    <w:p>
      <w:pPr>
        <w:spacing w:before="0"/>
        <w:jc w:val="both"/>
        <w:rPr>
          <w:color w:val="000000"/>
          <w:sz w:val="22"/>
          <w:szCs w:val="22"/>
        </w:rPr>
      </w:pPr>
      <w:r>
        <w:rPr>
          <w:color w:val="000000"/>
          <w:sz w:val="22"/>
          <w:szCs w:val="22"/>
        </w:rPr>
        <w:t>Assinatura e Carimbo</w:t>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t>Apresentar na Habilitação.</w:t>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jc w:val="both"/>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color w:val="000000"/>
          <w:sz w:val="22"/>
          <w:szCs w:val="22"/>
        </w:rPr>
      </w:pPr>
      <w:r>
        <w:rPr>
          <w:color w:val="000000"/>
          <w:sz w:val="22"/>
          <w:szCs w:val="22"/>
        </w:rPr>
      </w:r>
    </w:p>
    <w:p>
      <w:pPr>
        <w:pStyle w:val="para33"/>
        <w:spacing w:before="0"/>
        <w:rPr>
          <w:b w:val="0"/>
          <w:iCs/>
          <w:color w:val="000000"/>
          <w:sz w:val="22"/>
          <w:szCs w:val="22"/>
        </w:rPr>
      </w:pPr>
      <w:r>
        <w:rPr>
          <w:color w:val="000000"/>
          <w:sz w:val="22"/>
          <w:szCs w:val="22"/>
        </w:rPr>
        <w:t>ANEXO VIII</w:t>
      </w:r>
      <w:r>
        <w:rPr>
          <w:b w:val="0"/>
          <w:iCs/>
          <w:color w:val="000000"/>
          <w:sz w:val="22"/>
          <w:szCs w:val="22"/>
        </w:rPr>
      </w:r>
    </w:p>
    <w:p>
      <w:pPr>
        <w:spacing w:before="0"/>
        <w:rPr>
          <w:b/>
          <w:iCs/>
          <w:color w:val="000000"/>
          <w:sz w:val="22"/>
          <w:szCs w:val="22"/>
        </w:rPr>
      </w:pPr>
      <w:r>
        <w:rPr>
          <w:b/>
          <w:iCs/>
          <w:color w:val="000000"/>
          <w:sz w:val="22"/>
          <w:szCs w:val="22"/>
        </w:rPr>
        <w:t>TERMO DE REFERÊNCIA (em  anexo)</w:t>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t>ANEXO IX</w:t>
      </w:r>
    </w:p>
    <w:p>
      <w:pPr>
        <w:spacing w:before="0"/>
        <w:jc w:val="both"/>
        <w:rPr>
          <w:b/>
          <w:iCs/>
          <w:color w:val="000000"/>
          <w:sz w:val="22"/>
          <w:szCs w:val="22"/>
        </w:rPr>
      </w:pPr>
      <w:r>
        <w:rPr>
          <w:b/>
          <w:iCs/>
          <w:color w:val="000000"/>
          <w:sz w:val="22"/>
          <w:szCs w:val="22"/>
        </w:rPr>
        <w:t xml:space="preserve">MINUTA DA ATA </w:t>
      </w:r>
    </w:p>
    <w:p>
      <w:pPr>
        <w:spacing w:before="0"/>
        <w:jc w:val="both"/>
        <w:rPr>
          <w:b/>
          <w:iCs/>
          <w:color w:val="000000"/>
          <w:sz w:val="22"/>
          <w:szCs w:val="22"/>
        </w:rPr>
      </w:pPr>
      <w:r>
        <w:rPr>
          <w:b/>
          <w:iCs/>
          <w:color w:val="000000"/>
          <w:sz w:val="22"/>
          <w:szCs w:val="22"/>
        </w:rPr>
      </w:r>
    </w:p>
    <w:p>
      <w:pPr>
        <w:pStyle w:val="para37"/>
        <w:spacing w:before="0"/>
        <w:jc w:val="both"/>
        <w:widowControl w:val="0"/>
        <w:rPr>
          <w:rFonts w:ascii="Times New Roman" w:hAnsi="Times New Roman" w:eastAsia="Times New Roman"/>
        </w:rPr>
      </w:pPr>
      <w:r>
        <w:rPr>
          <w:rFonts w:ascii="Times New Roman" w:hAnsi="Times New Roman"/>
        </w:rPr>
        <w:t xml:space="preserve">Pelo presente instrumento, o Município de São Domingos do Norte, Estado do Espírito Santo, pessoa Jurídica de Direito Público Interno, sediado na Rod. Gether Lopes de Farias, s/nº - São Domingos do Norte/ES, inscrito no Cadastro Nacional de Pessoa Jurídica sob o n.º 36.350.312/0001-72, neste ato representado pelo Prefeito Municipal, o Sr. Pedro Amarildo Dalmonte, brasileiro, casado, residente na Rua Tereza Sian Lerback n° 135, Bairro Octavio Bonaparte, São Domingos do Norte/ES, considerando o julgamento da licitação na modalidade de Pregão Presencial nº. 11/2020 - SRP, publicada no DIOES do dia 17/03/2020, bem como, a classificação das propostas publicada no DIOES de XX/XX/2019, e a respectiva homologação dos processos 638/2020 e 863/2020, vem registrar os preços da empresa </w:t>
      </w:r>
      <w:r>
        <w:rPr>
          <w:rFonts w:ascii="Times New Roman" w:hAnsi="Times New Roman"/>
          <w:b/>
        </w:rPr>
        <w:t>xxxxxxxxxxxxxxxxxxxxxxxxxxxxxxx</w:t>
      </w:r>
      <w:r>
        <w:rPr>
          <w:rFonts w:ascii="Times New Roman" w:hAnsi="Times New Roman"/>
        </w:rPr>
        <w:t xml:space="preserve"> nas quantidades estimadas, de acordo com a classificação por elas alcançadas por lote, atendendo as condições previstas no Instrumento Convocatório e as constantes desta Ata de Registro de Preços, e regido pela </w:t>
      </w:r>
      <w:r>
        <w:rPr>
          <w:rFonts w:ascii="Times New Roman" w:hAnsi="Times New Roman" w:eastAsia="Times New Roman"/>
        </w:rPr>
        <w:t>Lei no 10.520, de 17 de julho de 2002, Decreto Federal nº 3.555/00, pelo Decreto Federal 9.488/2018 e Decreto Municipal 1.663 de 11/06/2019 e subsidiariamente, pela Lei Federal no 8.666/93, LC 123/2006 e em conformidade com as disposições a seguir.</w:t>
      </w:r>
      <w:r>
        <w:rPr>
          <w:rFonts w:ascii="Times New Roman" w:hAnsi="Times New Roman" w:eastAsia="Times New Roman"/>
        </w:rPr>
      </w:r>
    </w:p>
    <w:p>
      <w:pPr>
        <w:pStyle w:val="para37"/>
        <w:spacing w:before="0"/>
        <w:jc w:val="both"/>
        <w:widowControl w:val="0"/>
        <w:rPr>
          <w:rFonts w:ascii="Times New Roman" w:hAnsi="Times New Roman"/>
        </w:rPr>
      </w:pPr>
      <w:r>
        <w:rPr>
          <w:rFonts w:ascii="Times New Roman" w:hAnsi="Times New Roman"/>
        </w:rPr>
      </w:r>
    </w:p>
    <w:p>
      <w:pPr>
        <w:spacing w:before="0"/>
        <w:jc w:val="both"/>
        <w:rPr>
          <w:b/>
          <w:sz w:val="22"/>
          <w:szCs w:val="22"/>
        </w:rPr>
      </w:pPr>
      <w:r>
        <w:rPr>
          <w:b/>
          <w:sz w:val="22"/>
          <w:szCs w:val="22"/>
        </w:rPr>
        <w:t>CLÁUSULA PRIMEIRA - DO OBJETO</w:t>
      </w:r>
    </w:p>
    <w:p>
      <w:pPr>
        <w:spacing w:before="0"/>
        <w:jc w:val="both"/>
        <w:rPr>
          <w:color w:val="000000"/>
          <w:sz w:val="22"/>
          <w:szCs w:val="22"/>
        </w:rPr>
      </w:pPr>
      <w:r>
        <w:rPr>
          <w:color w:val="000000"/>
          <w:sz w:val="22"/>
          <w:szCs w:val="22"/>
        </w:rPr>
        <w:t>2.1. Contratação de empresa especializada para prestar serviços em confecção de camisas, canecas, copos e bonés, que serão usados na divulgação em realização de campanhas e eventos  dentro do município  para atender as necessidades da SEMTADES e do GABINETE, tudo conforme anexo I do edital e Termo de Referência.</w:t>
      </w:r>
    </w:p>
    <w:p>
      <w:pPr>
        <w:spacing w:before="0"/>
        <w:jc w:val="both"/>
        <w:rPr>
          <w:sz w:val="22"/>
          <w:szCs w:val="22"/>
        </w:rPr>
      </w:pPr>
      <w:r>
        <w:rPr>
          <w:sz w:val="22"/>
          <w:szCs w:val="22"/>
        </w:rPr>
      </w:r>
    </w:p>
    <w:p>
      <w:pPr>
        <w:spacing w:before="0"/>
        <w:jc w:val="both"/>
        <w:rPr>
          <w:b/>
          <w:sz w:val="22"/>
          <w:szCs w:val="22"/>
        </w:rPr>
      </w:pPr>
      <w:r>
        <w:rPr>
          <w:b/>
          <w:sz w:val="22"/>
          <w:szCs w:val="22"/>
        </w:rPr>
        <w:t>CLÁUSULA SEGUNDA - DO PREÇO</w:t>
      </w:r>
    </w:p>
    <w:p>
      <w:pPr>
        <w:spacing w:before="0"/>
        <w:jc w:val="both"/>
        <w:rPr>
          <w:sz w:val="22"/>
          <w:szCs w:val="22"/>
        </w:rPr>
      </w:pPr>
      <w:r>
        <w:rPr>
          <w:sz w:val="22"/>
          <w:szCs w:val="22"/>
        </w:rPr>
        <w:t xml:space="preserve">2.1. Os preços a serem pagos coincidem com os requisitos definidos no </w:t>
      </w:r>
      <w:r>
        <w:rPr>
          <w:b/>
          <w:sz w:val="22"/>
          <w:szCs w:val="22"/>
        </w:rPr>
        <w:t>Anexo I</w:t>
      </w:r>
      <w:r>
        <w:rPr>
          <w:sz w:val="22"/>
          <w:szCs w:val="22"/>
        </w:rPr>
        <w:t xml:space="preserve"> do Edital, e nele estão inclusos todas as espécies de tributos, diretos e indiretos, encargos sociais, seguros, fretes e quaisquer despesas inerentes à prestação de serviços.</w:t>
      </w:r>
    </w:p>
    <w:p>
      <w:pPr>
        <w:spacing w:before="0"/>
        <w:jc w:val="both"/>
        <w:rPr>
          <w:sz w:val="22"/>
          <w:szCs w:val="22"/>
        </w:rPr>
      </w:pPr>
      <w:r>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pPr>
        <w:spacing w:before="0"/>
        <w:jc w:val="both"/>
        <w:rPr>
          <w:sz w:val="22"/>
          <w:szCs w:val="22"/>
        </w:rPr>
      </w:pPr>
      <w:r>
        <w:rPr>
          <w:sz w:val="22"/>
          <w:szCs w:val="22"/>
        </w:rPr>
      </w:r>
    </w:p>
    <w:p>
      <w:pPr>
        <w:spacing w:before="0"/>
        <w:jc w:val="both"/>
        <w:rPr>
          <w:b/>
          <w:sz w:val="22"/>
          <w:szCs w:val="22"/>
        </w:rPr>
      </w:pPr>
      <w:r>
        <w:rPr>
          <w:b/>
          <w:sz w:val="22"/>
          <w:szCs w:val="22"/>
        </w:rPr>
        <w:t>CLÁUSULA TERCEIRA - DA ALTERAÇÃO DO PREÇO PRATICADO NO MERCADO E DO REEQUILÍBRIO DA EQUAÇÃO ECONÔMICO-FINANCEIRA</w:t>
      </w:r>
    </w:p>
    <w:p>
      <w:pPr>
        <w:spacing w:before="0"/>
        <w:jc w:val="both"/>
        <w:rPr>
          <w:sz w:val="22"/>
          <w:szCs w:val="22"/>
        </w:rPr>
      </w:pPr>
      <w:r>
        <w:rPr>
          <w:sz w:val="22"/>
          <w:szCs w:val="22"/>
        </w:rPr>
        <w:t>3.1. Quando, por motivo superveniente, o preço registrado tornar-se superior ao preço praticado pelo mercado, o órgão gerenciador deverá:</w:t>
      </w:r>
    </w:p>
    <w:p>
      <w:pPr>
        <w:spacing w:before="0"/>
        <w:jc w:val="both"/>
        <w:rPr>
          <w:sz w:val="22"/>
          <w:szCs w:val="22"/>
        </w:rPr>
      </w:pPr>
      <w:r>
        <w:rPr>
          <w:sz w:val="22"/>
          <w:szCs w:val="22"/>
        </w:rPr>
        <w:t>a) Convocar o fornecedor visando a negociação para redução de preços e sua adequação ao praticado pelo mercado;</w:t>
      </w:r>
    </w:p>
    <w:p>
      <w:pPr>
        <w:spacing w:before="0"/>
        <w:jc w:val="both"/>
        <w:rPr>
          <w:sz w:val="22"/>
          <w:szCs w:val="22"/>
        </w:rPr>
      </w:pPr>
      <w:r>
        <w:rPr>
          <w:sz w:val="22"/>
          <w:szCs w:val="22"/>
        </w:rPr>
        <w:t>b) Frustrada a negociação, liberar o fornecedor do compromisso assumido;</w:t>
      </w:r>
    </w:p>
    <w:p>
      <w:pPr>
        <w:spacing w:before="0"/>
        <w:jc w:val="both"/>
        <w:rPr>
          <w:sz w:val="22"/>
          <w:szCs w:val="22"/>
        </w:rPr>
      </w:pPr>
      <w:r>
        <w:rPr>
          <w:sz w:val="22"/>
          <w:szCs w:val="22"/>
        </w:rPr>
        <w:t>c) Convocar os demais fornecedores para conceder igual oportunidade de negociação.</w:t>
      </w:r>
    </w:p>
    <w:p>
      <w:pPr>
        <w:spacing w:before="0"/>
        <w:jc w:val="both"/>
        <w:rPr>
          <w:sz w:val="22"/>
          <w:szCs w:val="22"/>
        </w:rPr>
      </w:pPr>
      <w:r>
        <w:rPr>
          <w:sz w:val="22"/>
          <w:szCs w:val="22"/>
        </w:rPr>
        <w:t>3.2. Quando o preço de mercado tornar-se superior aos preços registrados e o fornecedor, mediante oferta de justificativas comprovadas, não puder cumprir o compromisso, o órgão gerenciador poderá:</w:t>
      </w:r>
    </w:p>
    <w:p>
      <w:pPr>
        <w:spacing w:before="0"/>
        <w:jc w:val="both"/>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pPr>
        <w:spacing w:before="0"/>
        <w:jc w:val="both"/>
        <w:rPr>
          <w:sz w:val="22"/>
          <w:szCs w:val="22"/>
        </w:rPr>
      </w:pPr>
      <w:r>
        <w:rPr>
          <w:sz w:val="22"/>
          <w:szCs w:val="22"/>
        </w:rPr>
        <w:t>b) Convocar os demais fornecedores para conceder igual oportunidade de negociação.</w:t>
      </w:r>
    </w:p>
    <w:p>
      <w:pPr>
        <w:spacing w:before="0"/>
        <w:jc w:val="both"/>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pPr>
        <w:spacing w:before="0"/>
        <w:jc w:val="both"/>
        <w:rPr>
          <w:sz w:val="22"/>
          <w:szCs w:val="22"/>
        </w:rPr>
      </w:pPr>
      <w:r>
        <w:rPr>
          <w:sz w:val="22"/>
          <w:szCs w:val="22"/>
        </w:rPr>
        <w:t xml:space="preserve">3.4. Em caso de desequilíbrio da equação econômico-financeira, será adotado o critério de revisão, como forma de restabelecer as condições originalmente pactuadas. </w:t>
      </w:r>
    </w:p>
    <w:p>
      <w:pPr>
        <w:spacing w:before="0"/>
        <w:jc w:val="both"/>
        <w:rPr>
          <w:sz w:val="22"/>
          <w:szCs w:val="22"/>
        </w:rPr>
      </w:pPr>
      <w:r>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pPr>
        <w:spacing w:before="0"/>
        <w:jc w:val="both"/>
        <w:rPr>
          <w:sz w:val="22"/>
          <w:szCs w:val="22"/>
        </w:rPr>
      </w:pPr>
      <w:r>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pPr>
        <w:spacing w:before="0"/>
        <w:jc w:val="both"/>
        <w:rPr>
          <w:sz w:val="22"/>
          <w:szCs w:val="22"/>
        </w:rPr>
      </w:pPr>
      <w:r>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pPr>
        <w:spacing w:before="0"/>
        <w:jc w:val="both"/>
        <w:rPr>
          <w:sz w:val="22"/>
          <w:szCs w:val="22"/>
        </w:rPr>
      </w:pPr>
      <w:r>
        <w:rPr>
          <w:sz w:val="22"/>
          <w:szCs w:val="22"/>
        </w:rPr>
        <w:t xml:space="preserve">3.5.3. Não será concedida a revisão quando: </w:t>
      </w:r>
    </w:p>
    <w:p>
      <w:pPr>
        <w:spacing w:before="0"/>
        <w:jc w:val="both"/>
        <w:rPr>
          <w:sz w:val="22"/>
          <w:szCs w:val="22"/>
        </w:rPr>
      </w:pPr>
      <w:r>
        <w:rPr>
          <w:sz w:val="22"/>
          <w:szCs w:val="22"/>
        </w:rPr>
        <w:t xml:space="preserve">a) Ausente à elevação de encargos alegada pela parte interessada; </w:t>
      </w:r>
    </w:p>
    <w:p>
      <w:pPr>
        <w:spacing w:before="0"/>
        <w:jc w:val="both"/>
        <w:rPr>
          <w:sz w:val="22"/>
          <w:szCs w:val="22"/>
        </w:rPr>
      </w:pPr>
      <w:r>
        <w:rPr>
          <w:sz w:val="22"/>
          <w:szCs w:val="22"/>
        </w:rPr>
        <w:t>b) O evento imputado como causa de desequilíbrio houver ocorrido antes da formulação da proposta definitiva ou após a finalização da vigência da Ata;</w:t>
      </w:r>
    </w:p>
    <w:p>
      <w:pPr>
        <w:spacing w:before="0"/>
        <w:jc w:val="both"/>
        <w:rPr>
          <w:sz w:val="22"/>
          <w:szCs w:val="22"/>
        </w:rPr>
      </w:pPr>
      <w:r>
        <w:rPr>
          <w:sz w:val="22"/>
          <w:szCs w:val="22"/>
        </w:rPr>
        <w:t>c) Ausente o nexo de causalidade entre o evento ocorrido e a majoração dos encargos atribuídos à parte interessada;</w:t>
      </w:r>
    </w:p>
    <w:p>
      <w:pPr>
        <w:spacing w:before="0"/>
        <w:jc w:val="both"/>
        <w:rPr>
          <w:sz w:val="22"/>
          <w:szCs w:val="22"/>
        </w:rPr>
      </w:pPr>
      <w:r>
        <w:rPr>
          <w:sz w:val="22"/>
          <w:szCs w:val="22"/>
        </w:rPr>
        <w:t>d) A parte interessada houver incorrido em culpa pela majoração de seus próprios encargos, incluindo-se, nesse âmbito, a previsibilidade da ocorrência do evento.</w:t>
      </w:r>
    </w:p>
    <w:p>
      <w:pPr>
        <w:spacing w:before="0"/>
        <w:jc w:val="both"/>
        <w:rPr>
          <w:sz w:val="22"/>
          <w:szCs w:val="22"/>
        </w:rPr>
      </w:pPr>
      <w:r>
        <w:rPr>
          <w:sz w:val="22"/>
          <w:szCs w:val="22"/>
        </w:rPr>
        <w:t>3.5.4. Em todo o caso, a revisão será efetuada por meio de aditamento, precedida de análise pela Secretaria Municipal de Controle Interno e Transparência e Procuradoria Geral do Município, e não poderá exceder o preço praticado no mercado.</w:t>
      </w:r>
    </w:p>
    <w:p>
      <w:pPr>
        <w:spacing w:before="0"/>
        <w:jc w:val="both"/>
        <w:rPr>
          <w:sz w:val="22"/>
          <w:szCs w:val="22"/>
        </w:rPr>
      </w:pPr>
      <w:r>
        <w:rPr>
          <w:sz w:val="22"/>
          <w:szCs w:val="22"/>
        </w:rPr>
      </w:r>
    </w:p>
    <w:p>
      <w:pPr>
        <w:spacing w:before="0"/>
        <w:jc w:val="both"/>
        <w:rPr>
          <w:b/>
          <w:sz w:val="22"/>
          <w:szCs w:val="22"/>
        </w:rPr>
      </w:pPr>
      <w:r>
        <w:rPr>
          <w:b/>
          <w:sz w:val="22"/>
          <w:szCs w:val="22"/>
        </w:rPr>
        <w:t>CLÁUSULA QUARTA - DO CANCELAMENTO DO REGISTRO DE PREÇOS</w:t>
      </w:r>
    </w:p>
    <w:p>
      <w:pPr>
        <w:spacing w:before="0"/>
        <w:jc w:val="both"/>
        <w:rPr>
          <w:sz w:val="22"/>
          <w:szCs w:val="22"/>
        </w:rPr>
      </w:pPr>
      <w:r>
        <w:rPr>
          <w:sz w:val="22"/>
          <w:szCs w:val="22"/>
        </w:rPr>
        <w:t>4.1. O preço registrado poderá ser cancelado nas seguintes hipóteses:</w:t>
      </w:r>
    </w:p>
    <w:p>
      <w:pPr>
        <w:spacing w:before="0"/>
        <w:jc w:val="both"/>
        <w:rPr>
          <w:sz w:val="22"/>
          <w:szCs w:val="22"/>
        </w:rPr>
      </w:pPr>
      <w:r>
        <w:rPr>
          <w:sz w:val="22"/>
          <w:szCs w:val="22"/>
        </w:rPr>
        <w:t>4.1.1. Pela Administração, quando houver comprovado interesse público, ou quando o fornecedor:</w:t>
      </w:r>
    </w:p>
    <w:p>
      <w:pPr>
        <w:spacing w:before="0"/>
        <w:jc w:val="both"/>
        <w:rPr>
          <w:sz w:val="22"/>
          <w:szCs w:val="22"/>
        </w:rPr>
      </w:pPr>
      <w:r>
        <w:rPr>
          <w:sz w:val="22"/>
          <w:szCs w:val="22"/>
        </w:rPr>
        <w:t>a) Não cumprir as exigências da Ata de Registro de Preços;</w:t>
      </w:r>
    </w:p>
    <w:p>
      <w:pPr>
        <w:spacing w:before="0"/>
        <w:jc w:val="both"/>
        <w:rPr>
          <w:sz w:val="22"/>
          <w:szCs w:val="22"/>
        </w:rPr>
      </w:pPr>
      <w:r>
        <w:rPr>
          <w:sz w:val="22"/>
          <w:szCs w:val="22"/>
        </w:rPr>
        <w:t>b)Não formalizar contrato decorrente do Registro de Preços ou não retirar o instrumento equivalente no prazo estabelecido, sem justificativa aceitável;</w:t>
      </w:r>
    </w:p>
    <w:p>
      <w:pPr>
        <w:spacing w:before="0"/>
        <w:jc w:val="both"/>
        <w:rPr>
          <w:sz w:val="22"/>
          <w:szCs w:val="22"/>
        </w:rPr>
      </w:pPr>
      <w:r>
        <w:rPr>
          <w:sz w:val="22"/>
          <w:szCs w:val="22"/>
        </w:rPr>
        <w:t>c) Não aceitar reduzir o preço registrado, na hipótese de se tornar este superior aos praticados no mercado;</w:t>
      </w:r>
    </w:p>
    <w:p>
      <w:pPr>
        <w:spacing w:before="0"/>
        <w:jc w:val="both"/>
        <w:rPr>
          <w:sz w:val="22"/>
          <w:szCs w:val="22"/>
        </w:rPr>
      </w:pPr>
      <w:r>
        <w:rPr>
          <w:sz w:val="22"/>
          <w:szCs w:val="22"/>
        </w:rPr>
        <w:t>d) Incorrer em inexecução total ou parcial do contrato decorrente do registro de preços;</w:t>
      </w:r>
    </w:p>
    <w:p>
      <w:pPr>
        <w:spacing w:before="0"/>
        <w:jc w:val="both"/>
        <w:rPr>
          <w:sz w:val="22"/>
          <w:szCs w:val="22"/>
        </w:rPr>
      </w:pPr>
      <w:r>
        <w:rPr>
          <w:sz w:val="22"/>
          <w:szCs w:val="22"/>
        </w:rPr>
        <w:t>4.1.2. Pelo fornecedor, quando, mediante solicitação formal e expressa, comprovar a impossibilidade, por caso fortuito ou força maior, de dar cumprimento às exigências do instrumento convocatório e da Ata de Registro de Preços.</w:t>
      </w:r>
    </w:p>
    <w:p>
      <w:pPr>
        <w:spacing w:before="0"/>
        <w:jc w:val="both"/>
        <w:rPr>
          <w:sz w:val="22"/>
          <w:szCs w:val="22"/>
        </w:rPr>
      </w:pPr>
      <w:r>
        <w:rPr>
          <w:sz w:val="22"/>
          <w:szCs w:val="22"/>
        </w:rPr>
        <w:t>4.2. O cancelamento do registro de preços por parte da Administração, assegurados a ampla defesa e o contraditório, será formalizado por decisão da autoridade competente.</w:t>
      </w:r>
    </w:p>
    <w:p>
      <w:pPr>
        <w:spacing w:before="0"/>
        <w:jc w:val="both"/>
        <w:rPr>
          <w:sz w:val="22"/>
          <w:szCs w:val="22"/>
        </w:rPr>
      </w:pPr>
      <w:r>
        <w:rPr>
          <w:sz w:val="22"/>
          <w:szCs w:val="22"/>
        </w:rPr>
        <w:t>4.2.1. O cancelamento do registro não prejudica a possibilidade de aplicação de sanção administrativa, quando motivada pela ocorrência de infração cometida pelo particular, observada os critérios estabelecidos na cláusula décima primeira deste instrumento.</w:t>
      </w:r>
    </w:p>
    <w:p>
      <w:pPr>
        <w:spacing w:before="0"/>
        <w:jc w:val="both"/>
        <w:rPr>
          <w:sz w:val="22"/>
          <w:szCs w:val="22"/>
        </w:rPr>
      </w:pPr>
      <w:r>
        <w:rPr>
          <w:sz w:val="22"/>
          <w:szCs w:val="22"/>
        </w:rPr>
        <w:t>4.3. Da decisão da autoridade competente se dará conhecimento aos fornecedores, mediante o envio de correspondência, com aviso de recebimento.</w:t>
      </w:r>
    </w:p>
    <w:p>
      <w:pPr>
        <w:spacing w:before="0"/>
        <w:jc w:val="both"/>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pPr>
        <w:spacing w:before="0"/>
        <w:jc w:val="both"/>
        <w:rPr>
          <w:sz w:val="22"/>
          <w:szCs w:val="22"/>
        </w:rPr>
      </w:pPr>
      <w:r>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pPr>
        <w:spacing w:before="0"/>
        <w:jc w:val="both"/>
        <w:rPr>
          <w:sz w:val="22"/>
          <w:szCs w:val="22"/>
        </w:rPr>
      </w:pPr>
      <w:r>
        <w:rPr>
          <w:sz w:val="22"/>
          <w:szCs w:val="22"/>
        </w:rPr>
        <w:t>4.6. Aplicar-se-á no que couber o art. 65 da Lei 8.666/93.</w:t>
      </w:r>
    </w:p>
    <w:p>
      <w:pPr>
        <w:spacing w:before="0"/>
        <w:jc w:val="both"/>
        <w:rPr>
          <w:sz w:val="22"/>
          <w:szCs w:val="22"/>
        </w:rPr>
      </w:pPr>
      <w:r>
        <w:rPr>
          <w:sz w:val="22"/>
          <w:szCs w:val="22"/>
        </w:rPr>
      </w:r>
    </w:p>
    <w:p>
      <w:pPr>
        <w:spacing w:before="0"/>
        <w:jc w:val="both"/>
        <w:rPr>
          <w:b/>
          <w:sz w:val="22"/>
          <w:szCs w:val="22"/>
        </w:rPr>
      </w:pPr>
      <w:r>
        <w:rPr>
          <w:b/>
          <w:sz w:val="22"/>
          <w:szCs w:val="22"/>
        </w:rPr>
        <w:t>CLÁUSULA QUINTA - DAS CONDIÇÕES DE PAGAMENTO</w:t>
      </w:r>
    </w:p>
    <w:p>
      <w:pPr>
        <w:spacing w:before="0"/>
        <w:jc w:val="both"/>
        <w:rPr>
          <w:sz w:val="22"/>
          <w:szCs w:val="22"/>
        </w:rPr>
      </w:pPr>
      <w:r>
        <w:rPr>
          <w:sz w:val="22"/>
          <w:szCs w:val="22"/>
        </w:rPr>
        <w:t xml:space="preserve">5.1. A Contratante pagará à Contratada pela prestação de serviço de arbitragem adquiridos, até trinta dias úteis após a apresentação regular da Nota Fiscal/Fatura  e o atestado do fiscal correspondente, devidamente aceita pelo Contratante, vedada a antecipação. </w:t>
      </w:r>
    </w:p>
    <w:p>
      <w:pPr>
        <w:spacing w:before="0"/>
        <w:jc w:val="both"/>
        <w:rPr>
          <w:sz w:val="22"/>
          <w:szCs w:val="22"/>
        </w:rPr>
      </w:pPr>
      <w:r>
        <w:rPr>
          <w:sz w:val="22"/>
          <w:szCs w:val="22"/>
        </w:rPr>
        <w:t>5.2. O pagamento far-se-á por meio de uma única fatura.</w:t>
      </w:r>
    </w:p>
    <w:p>
      <w:pPr>
        <w:spacing w:before="0"/>
        <w:jc w:val="both"/>
        <w:rPr>
          <w:sz w:val="22"/>
          <w:szCs w:val="22"/>
        </w:rPr>
      </w:pPr>
      <w:r>
        <w:rPr>
          <w:sz w:val="22"/>
          <w:szCs w:val="22"/>
        </w:rPr>
        <w:t>5.3. Incumbirão à Contratada a iniciativa e o encargo do cálculo minucioso da fatura devida a ser reveste e aprovado pela Contratante, juntando-se o cálculo da fatura.</w:t>
      </w:r>
    </w:p>
    <w:p>
      <w:pPr>
        <w:spacing w:before="0"/>
        <w:jc w:val="both"/>
        <w:rPr>
          <w:sz w:val="22"/>
          <w:szCs w:val="22"/>
        </w:rPr>
      </w:pPr>
      <w:r>
        <w:rPr>
          <w:sz w:val="22"/>
          <w:szCs w:val="22"/>
        </w:rPr>
        <w:t>5.4. A liquidação das despesas obedecerá rigorosamente o estabelecido na Lei nº 4.320/64 e alterações posteriores.</w:t>
      </w:r>
    </w:p>
    <w:p>
      <w:pPr>
        <w:spacing w:before="0"/>
        <w:jc w:val="both"/>
        <w:rPr>
          <w:sz w:val="22"/>
          <w:szCs w:val="22"/>
        </w:rPr>
      </w:pPr>
      <w:r>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pPr>
        <w:spacing w:before="0"/>
        <w:jc w:val="both"/>
        <w:rPr>
          <w:sz w:val="22"/>
          <w:szCs w:val="22"/>
        </w:rPr>
      </w:pPr>
      <w:r>
        <w:rPr>
          <w:sz w:val="22"/>
          <w:szCs w:val="22"/>
        </w:rPr>
        <w:t>5.6. A eventual inadimplência de um dos órgãos participantes desta Ata não produzirá efeitos quanto aos demais.</w:t>
      </w:r>
    </w:p>
    <w:p>
      <w:pPr>
        <w:spacing w:before="0"/>
        <w:jc w:val="both"/>
        <w:rPr>
          <w:sz w:val="22"/>
          <w:szCs w:val="22"/>
        </w:rPr>
      </w:pPr>
      <w:r>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sz w:val="22"/>
          <w:szCs w:val="22"/>
        </w:rPr>
      </w:pPr>
      <w:r>
        <w:rPr>
          <w:sz w:val="22"/>
          <w:szCs w:val="22"/>
        </w:rPr>
      </w:r>
    </w:p>
    <w:p>
      <w:pPr>
        <w:spacing w:before="0"/>
        <w:jc w:val="both"/>
        <w:rPr>
          <w:b/>
          <w:sz w:val="22"/>
          <w:szCs w:val="22"/>
        </w:rPr>
      </w:pPr>
      <w:r>
        <w:rPr>
          <w:b/>
          <w:sz w:val="22"/>
          <w:szCs w:val="22"/>
        </w:rPr>
        <w:t>CLÁUSULA SEXTA - DO PRAZO DE VIGÊNCIA DA ATA</w:t>
      </w:r>
    </w:p>
    <w:p>
      <w:pPr>
        <w:spacing w:before="0"/>
        <w:jc w:val="both"/>
        <w:rPr>
          <w:sz w:val="22"/>
          <w:szCs w:val="22"/>
        </w:rPr>
      </w:pPr>
      <w:r>
        <w:rPr>
          <w:sz w:val="22"/>
          <w:szCs w:val="22"/>
        </w:rPr>
        <w:t>6.1. O prazo de vigência dessa Ata de Registro de Preços é de 01(um) ano, contado a partir da assinatura da ata dia posterior à data de sua publicação no Diário Oficial, vedada a sua prorrogação.</w:t>
      </w:r>
    </w:p>
    <w:p>
      <w:pPr>
        <w:spacing w:before="0"/>
        <w:jc w:val="both"/>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pPr>
        <w:spacing w:before="0"/>
        <w:jc w:val="both"/>
        <w:rPr>
          <w:b/>
          <w:sz w:val="22"/>
          <w:szCs w:val="22"/>
        </w:rPr>
      </w:pPr>
      <w:r>
        <w:rPr>
          <w:b/>
          <w:sz w:val="22"/>
          <w:szCs w:val="22"/>
        </w:rPr>
      </w:r>
    </w:p>
    <w:p>
      <w:pPr>
        <w:spacing w:before="0"/>
        <w:jc w:val="both"/>
        <w:rPr>
          <w:b/>
          <w:sz w:val="22"/>
          <w:szCs w:val="22"/>
        </w:rPr>
      </w:pPr>
      <w:r>
        <w:rPr>
          <w:b/>
          <w:sz w:val="22"/>
          <w:szCs w:val="22"/>
        </w:rPr>
        <w:t>CLÁUSULA SÉTIMA - DA DOTAÇÃO ORÇAMENTÁRIA</w:t>
      </w:r>
    </w:p>
    <w:p>
      <w:pPr>
        <w:spacing w:before="0"/>
        <w:jc w:val="both"/>
        <w:rPr>
          <w:color w:val="000000"/>
          <w:sz w:val="22"/>
          <w:szCs w:val="22"/>
        </w:rPr>
      </w:pPr>
      <w:r>
        <w:rPr>
          <w:sz w:val="22"/>
          <w:szCs w:val="22"/>
        </w:rPr>
        <w:t xml:space="preserve">7.1. </w:t>
      </w:r>
      <w:r>
        <w:rPr>
          <w:color w:val="000000"/>
          <w:sz w:val="22"/>
          <w:szCs w:val="22"/>
        </w:rPr>
        <w:t>As despesas decorrentes da presente licitação serão pagos com as seguintes dotações orçamentárias:</w:t>
      </w:r>
      <w:r>
        <w:rPr>
          <w:color w:val="000000"/>
          <w:sz w:val="22"/>
          <w:szCs w:val="22"/>
        </w:rPr>
      </w:r>
    </w:p>
    <w:p>
      <w:pPr>
        <w:spacing w:before="0"/>
        <w:jc w:val="both"/>
        <w:rPr>
          <w:color w:val="000000"/>
          <w:sz w:val="22"/>
          <w:szCs w:val="22"/>
        </w:rPr>
      </w:pPr>
      <w:r>
        <w:rPr>
          <w:color w:val="000000"/>
          <w:sz w:val="22"/>
          <w:szCs w:val="22"/>
        </w:rPr>
        <w:t>Secretaria Municipal de Educação e Cultura</w:t>
      </w:r>
    </w:p>
    <w:p>
      <w:pPr>
        <w:spacing w:before="0"/>
        <w:jc w:val="both"/>
        <w:rPr>
          <w:color w:val="000000"/>
          <w:sz w:val="22"/>
          <w:szCs w:val="22"/>
        </w:rPr>
      </w:pPr>
      <w:r>
        <w:rPr>
          <w:color w:val="000000"/>
          <w:sz w:val="22"/>
          <w:szCs w:val="22"/>
        </w:rPr>
        <w:t>Ficha 289 - 1001.</w:t>
      </w:r>
    </w:p>
    <w:p>
      <w:pPr>
        <w:spacing w:before="0"/>
        <w:jc w:val="both"/>
        <w:rPr>
          <w:color w:val="000000"/>
          <w:sz w:val="22"/>
          <w:szCs w:val="22"/>
        </w:rPr>
      </w:pPr>
      <w:r>
        <w:rPr>
          <w:color w:val="000000"/>
          <w:sz w:val="22"/>
          <w:szCs w:val="22"/>
        </w:rPr>
        <w:t>Secretaria Municipal do Trabalho, Assistência e Desenvolvimento Social</w:t>
      </w:r>
    </w:p>
    <w:p>
      <w:pPr>
        <w:spacing w:before="0"/>
        <w:jc w:val="both"/>
        <w:rPr>
          <w:color w:val="000000"/>
          <w:sz w:val="22"/>
          <w:szCs w:val="22"/>
        </w:rPr>
      </w:pPr>
      <w:r>
        <w:rPr>
          <w:color w:val="000000"/>
          <w:sz w:val="22"/>
          <w:szCs w:val="22"/>
        </w:rPr>
        <w:t>Fichas 328 - 1001, 336 - 1390, 369 - 1311, 393 - 1390.</w:t>
      </w:r>
    </w:p>
    <w:p>
      <w:pPr>
        <w:spacing w:before="0"/>
        <w:jc w:val="both"/>
        <w:rPr>
          <w:b/>
          <w:sz w:val="22"/>
          <w:szCs w:val="22"/>
        </w:rPr>
      </w:pPr>
      <w:r>
        <w:rPr>
          <w:b/>
          <w:sz w:val="22"/>
          <w:szCs w:val="22"/>
        </w:rPr>
      </w:r>
    </w:p>
    <w:p>
      <w:pPr>
        <w:spacing w:before="0"/>
        <w:jc w:val="both"/>
        <w:rPr>
          <w:b/>
          <w:sz w:val="22"/>
          <w:szCs w:val="22"/>
        </w:rPr>
      </w:pPr>
      <w:r>
        <w:rPr>
          <w:b/>
          <w:sz w:val="22"/>
          <w:szCs w:val="22"/>
        </w:rPr>
        <w:t>CLÁUSULA OITAVA - DA CONVOCAÇÃO PARA RECEBER A ORDEM DE FORNECIMENTO</w:t>
      </w:r>
    </w:p>
    <w:p>
      <w:pPr>
        <w:spacing w:before="0"/>
        <w:jc w:val="both"/>
        <w:rPr>
          <w:sz w:val="22"/>
          <w:szCs w:val="22"/>
        </w:rPr>
      </w:pPr>
      <w:r>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observado a ordem de classificação.</w:t>
      </w:r>
    </w:p>
    <w:p>
      <w:pPr>
        <w:spacing w:before="0"/>
        <w:jc w:val="both"/>
        <w:rPr>
          <w:sz w:val="22"/>
          <w:szCs w:val="22"/>
        </w:rPr>
      </w:pPr>
      <w:r>
        <w:rPr>
          <w:sz w:val="22"/>
          <w:szCs w:val="22"/>
        </w:rPr>
      </w:r>
    </w:p>
    <w:p>
      <w:pPr>
        <w:spacing w:before="0"/>
        <w:jc w:val="both"/>
        <w:rPr>
          <w:b/>
          <w:sz w:val="22"/>
          <w:szCs w:val="22"/>
        </w:rPr>
      </w:pPr>
      <w:r>
        <w:rPr>
          <w:b/>
          <w:sz w:val="22"/>
          <w:szCs w:val="22"/>
        </w:rPr>
        <w:t>CLÁUSULA NONA - DA ENTREGA E PRESTAÇÃO DE SERVIÇOS</w:t>
      </w:r>
    </w:p>
    <w:p>
      <w:pPr>
        <w:spacing w:before="0"/>
        <w:jc w:val="both"/>
        <w:rPr>
          <w:sz w:val="22"/>
          <w:szCs w:val="22"/>
        </w:rPr>
      </w:pPr>
      <w:r>
        <w:rPr>
          <w:sz w:val="22"/>
          <w:szCs w:val="22"/>
        </w:rPr>
        <w:t>9.1. A entrega dos produtos dar-se-á no prazo máximo de 05 (cinco) dias corridos após o recebimento da ordem de fornecimento.</w:t>
      </w:r>
    </w:p>
    <w:p>
      <w:pPr>
        <w:spacing w:before="0"/>
        <w:jc w:val="both"/>
        <w:rPr>
          <w:sz w:val="22"/>
          <w:szCs w:val="22"/>
        </w:rPr>
      </w:pPr>
      <w:r>
        <w:rPr>
          <w:sz w:val="22"/>
          <w:szCs w:val="22"/>
        </w:rPr>
        <w:t>a) A prestação de serviços deverá ocorrer em parcelas de acordo com os pedidos de fornecimento e necessidade do Gabinete do Prefeito.</w:t>
      </w:r>
    </w:p>
    <w:p>
      <w:pPr>
        <w:spacing w:before="0"/>
        <w:jc w:val="both"/>
        <w:rPr>
          <w:sz w:val="22"/>
          <w:szCs w:val="22"/>
        </w:rPr>
      </w:pPr>
      <w:r>
        <w:rPr>
          <w:sz w:val="22"/>
          <w:szCs w:val="22"/>
        </w:rPr>
        <w:t>b) 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pPr>
        <w:spacing w:before="0"/>
        <w:jc w:val="both"/>
        <w:rPr>
          <w:sz w:val="22"/>
          <w:szCs w:val="22"/>
        </w:rPr>
      </w:pPr>
      <w:r>
        <w:rPr>
          <w:sz w:val="22"/>
          <w:szCs w:val="22"/>
        </w:rPr>
        <w:t>c) O licitante vencedor deverá promover a prestação de serviços plenamente de acordo com as especificações contidas no ANEXO I, tanto no que refere-se aos quantitativos quanto as discriminações, principalmente quando tratar-se das especificações exigidas.</w:t>
      </w:r>
    </w:p>
    <w:p>
      <w:pPr>
        <w:spacing w:before="0"/>
        <w:jc w:val="both"/>
        <w:rPr>
          <w:sz w:val="22"/>
          <w:szCs w:val="22"/>
        </w:rPr>
      </w:pPr>
      <w:r>
        <w:rPr>
          <w:sz w:val="22"/>
          <w:szCs w:val="22"/>
        </w:rPr>
        <w:t>9.2.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pPr>
        <w:spacing w:before="0"/>
        <w:jc w:val="both"/>
        <w:rPr>
          <w:sz w:val="22"/>
          <w:szCs w:val="22"/>
        </w:rPr>
      </w:pPr>
      <w:r>
        <w:rPr>
          <w:sz w:val="22"/>
          <w:szCs w:val="22"/>
        </w:rPr>
        <w:t>9.3. Constatadas irregularidades no objeto contratada, a contratante poderá:</w:t>
      </w:r>
    </w:p>
    <w:p>
      <w:pPr>
        <w:spacing w:before="0"/>
        <w:jc w:val="both"/>
        <w:rPr>
          <w:sz w:val="22"/>
          <w:szCs w:val="22"/>
        </w:rPr>
      </w:pPr>
      <w:r>
        <w:rPr>
          <w:sz w:val="22"/>
          <w:szCs w:val="22"/>
        </w:rPr>
        <w:t>a) Se disser respeito à especificação, rejeitá-lo, determinando sua substituição ou rescindindo a contratação, sem prejuízo das penalidades cabíveis;</w:t>
      </w:r>
    </w:p>
    <w:p>
      <w:pPr>
        <w:spacing w:before="0"/>
        <w:jc w:val="both"/>
        <w:rPr>
          <w:sz w:val="22"/>
          <w:szCs w:val="22"/>
        </w:rPr>
      </w:pPr>
      <w:r>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pPr>
        <w:spacing w:before="0"/>
        <w:jc w:val="both"/>
        <w:rPr>
          <w:sz w:val="22"/>
          <w:szCs w:val="22"/>
        </w:rPr>
      </w:pPr>
      <w:r>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pPr>
        <w:spacing w:before="0"/>
        <w:jc w:val="both"/>
        <w:rPr>
          <w:sz w:val="22"/>
          <w:szCs w:val="22"/>
        </w:rPr>
      </w:pPr>
      <w:r>
        <w:rPr>
          <w:sz w:val="22"/>
          <w:szCs w:val="22"/>
        </w:rPr>
      </w:r>
    </w:p>
    <w:p>
      <w:pPr>
        <w:spacing w:before="0"/>
        <w:jc w:val="both"/>
        <w:rPr>
          <w:b/>
          <w:sz w:val="22"/>
          <w:szCs w:val="22"/>
        </w:rPr>
      </w:pPr>
      <w:r>
        <w:rPr>
          <w:b/>
          <w:sz w:val="22"/>
          <w:szCs w:val="22"/>
        </w:rPr>
        <w:t>CLÁUSULA DÉCIMA - DA RESPONSABILIDADE DAS PARTES</w:t>
      </w:r>
    </w:p>
    <w:p>
      <w:pPr>
        <w:spacing w:before="0"/>
        <w:jc w:val="both"/>
        <w:rPr>
          <w:sz w:val="22"/>
          <w:szCs w:val="22"/>
        </w:rPr>
      </w:pPr>
      <w:r>
        <w:rPr>
          <w:sz w:val="22"/>
          <w:szCs w:val="22"/>
        </w:rPr>
        <w:t>10.1. Compete à Contratada:</w:t>
      </w:r>
    </w:p>
    <w:p>
      <w:pPr>
        <w:spacing w:before="0"/>
        <w:jc w:val="both"/>
        <w:rPr>
          <w:sz w:val="22"/>
          <w:szCs w:val="22"/>
        </w:rPr>
      </w:pPr>
      <w:r>
        <w:rPr>
          <w:sz w:val="22"/>
          <w:szCs w:val="22"/>
        </w:rPr>
        <w:t>a) Entregar os materiais de acordo com as condições e prazos propostos respeitando-se o período de validade;</w:t>
      </w:r>
    </w:p>
    <w:p>
      <w:pPr>
        <w:spacing w:before="0"/>
        <w:jc w:val="both"/>
        <w:rPr>
          <w:sz w:val="22"/>
          <w:szCs w:val="22"/>
        </w:rPr>
      </w:pPr>
      <w:r>
        <w:rPr>
          <w:sz w:val="22"/>
          <w:szCs w:val="22"/>
        </w:rPr>
        <w:t>b) Providenciar a imediata correção das deficiências apontadas pelo setor competente do Contratante;</w:t>
      </w:r>
    </w:p>
    <w:p>
      <w:pPr>
        <w:spacing w:before="0"/>
        <w:jc w:val="both"/>
        <w:rPr>
          <w:sz w:val="22"/>
          <w:szCs w:val="22"/>
        </w:rPr>
      </w:pPr>
      <w:r>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pPr>
        <w:spacing w:before="0"/>
        <w:jc w:val="both"/>
        <w:rPr>
          <w:sz w:val="22"/>
          <w:szCs w:val="22"/>
        </w:rPr>
      </w:pPr>
      <w:r>
        <w:rPr>
          <w:sz w:val="22"/>
          <w:szCs w:val="22"/>
        </w:rPr>
        <w:t>10.2. Compete à Contratante:</w:t>
      </w:r>
    </w:p>
    <w:p>
      <w:pPr>
        <w:spacing w:before="0"/>
        <w:jc w:val="both"/>
        <w:rPr>
          <w:sz w:val="22"/>
          <w:szCs w:val="22"/>
        </w:rPr>
      </w:pPr>
      <w:r>
        <w:rPr>
          <w:sz w:val="22"/>
          <w:szCs w:val="22"/>
        </w:rPr>
        <w:t>a) Efetuar o pagamento do preço previsto na cláusula segunda, nos termos deste instrumento;</w:t>
      </w:r>
    </w:p>
    <w:p>
      <w:pPr>
        <w:spacing w:before="0"/>
        <w:jc w:val="both"/>
        <w:rPr>
          <w:sz w:val="22"/>
          <w:szCs w:val="22"/>
        </w:rPr>
      </w:pPr>
      <w:r>
        <w:rPr>
          <w:sz w:val="22"/>
          <w:szCs w:val="22"/>
        </w:rPr>
        <w:t>b) Definir o local para entrega dos materiais adquiridos;</w:t>
      </w:r>
    </w:p>
    <w:p>
      <w:pPr>
        <w:spacing w:before="0"/>
        <w:jc w:val="both"/>
        <w:rPr>
          <w:sz w:val="22"/>
          <w:szCs w:val="22"/>
        </w:rPr>
      </w:pPr>
      <w:r>
        <w:rPr>
          <w:sz w:val="22"/>
          <w:szCs w:val="22"/>
        </w:rPr>
        <w:t>c) Designar servidor (ou comissão de, no mínimo, 3 três membros, na hipótese do parágrafo 8º do art. 15 da Lei nº 8.666/93) responsável pelo acompanhamento e fiscalização na entrega dos produtos adquiridos.</w:t>
      </w:r>
    </w:p>
    <w:p>
      <w:pPr>
        <w:spacing w:before="0"/>
        <w:jc w:val="both"/>
        <w:rPr>
          <w:sz w:val="22"/>
          <w:szCs w:val="22"/>
        </w:rPr>
      </w:pPr>
      <w:r>
        <w:rPr>
          <w:sz w:val="22"/>
          <w:szCs w:val="22"/>
        </w:rPr>
      </w:r>
    </w:p>
    <w:p>
      <w:pPr>
        <w:spacing w:before="0"/>
        <w:jc w:val="both"/>
        <w:rPr>
          <w:b/>
          <w:sz w:val="22"/>
          <w:szCs w:val="22"/>
        </w:rPr>
      </w:pPr>
      <w:r>
        <w:rPr>
          <w:b/>
          <w:sz w:val="22"/>
          <w:szCs w:val="22"/>
        </w:rPr>
        <w:t>CLÁUSULA DÉCIMA PRIMEIRA - DAS SANÇÕES ADMINISTRATIVAS</w:t>
      </w:r>
    </w:p>
    <w:p>
      <w:pPr>
        <w:spacing w:before="0"/>
        <w:jc w:val="both"/>
        <w:rPr>
          <w:sz w:val="22"/>
          <w:szCs w:val="22"/>
        </w:rPr>
      </w:pPr>
      <w:r>
        <w:rPr>
          <w:sz w:val="22"/>
          <w:szCs w:val="22"/>
        </w:rPr>
        <w:t>11.1. Em caso de atraso na execução/entrega do objeto contratado, multa de 0,3% (três centésimos por cento) por dia de atraso, até o limite de 20% (vinte por cento) sobre o valor total do contrato.</w:t>
      </w:r>
    </w:p>
    <w:p>
      <w:pPr>
        <w:spacing w:before="0"/>
        <w:jc w:val="both"/>
        <w:rPr>
          <w:sz w:val="22"/>
          <w:szCs w:val="22"/>
        </w:rPr>
      </w:pPr>
      <w:r>
        <w:rPr>
          <w:sz w:val="22"/>
          <w:szCs w:val="22"/>
        </w:rPr>
        <w:t>11.2.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pPr>
        <w:spacing w:before="0"/>
        <w:jc w:val="both"/>
        <w:rPr>
          <w:sz w:val="22"/>
          <w:szCs w:val="22"/>
        </w:rPr>
      </w:pPr>
      <w:r>
        <w:rPr>
          <w:sz w:val="22"/>
          <w:szCs w:val="22"/>
        </w:rPr>
        <w:t>11.3. A licitante/contratada se sujeita ainda as seguintes penalidades:</w:t>
      </w:r>
    </w:p>
    <w:p>
      <w:pPr>
        <w:spacing w:before="0"/>
        <w:jc w:val="both"/>
        <w:rPr>
          <w:sz w:val="22"/>
          <w:szCs w:val="22"/>
        </w:rPr>
      </w:pPr>
      <w:r>
        <w:rPr>
          <w:sz w:val="22"/>
          <w:szCs w:val="22"/>
        </w:rPr>
        <w:t>a) Advertência;</w:t>
      </w:r>
    </w:p>
    <w:p>
      <w:pPr>
        <w:spacing w:before="0"/>
        <w:jc w:val="both"/>
        <w:rPr>
          <w:sz w:val="22"/>
          <w:szCs w:val="22"/>
        </w:rPr>
      </w:pPr>
      <w:r>
        <w:rPr>
          <w:sz w:val="22"/>
          <w:szCs w:val="22"/>
        </w:rPr>
        <w:t>b) Suspensão temporária de participar de licitações e impedimento de contratar com a administração municipal, por prazo de até 2 (dois) anos, e,</w:t>
      </w:r>
    </w:p>
    <w:p>
      <w:pPr>
        <w:spacing w:before="0"/>
        <w:jc w:val="both"/>
        <w:rPr>
          <w:sz w:val="22"/>
          <w:szCs w:val="22"/>
        </w:rPr>
      </w:pPr>
      <w:r>
        <w:rPr>
          <w:sz w:val="22"/>
          <w:szCs w:val="22"/>
        </w:rPr>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pPr>
        <w:spacing w:before="0"/>
        <w:jc w:val="both"/>
        <w:rPr>
          <w:sz w:val="22"/>
          <w:szCs w:val="22"/>
        </w:rPr>
      </w:pPr>
      <w:r>
        <w:rPr>
          <w:sz w:val="22"/>
          <w:szCs w:val="22"/>
        </w:rPr>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pPr>
        <w:spacing w:before="0"/>
        <w:jc w:val="both"/>
        <w:rPr>
          <w:sz w:val="22"/>
          <w:szCs w:val="22"/>
        </w:rPr>
      </w:pPr>
      <w:r>
        <w:rPr>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pPr>
        <w:spacing w:before="0"/>
        <w:jc w:val="both"/>
        <w:rPr>
          <w:sz w:val="22"/>
          <w:szCs w:val="22"/>
        </w:rPr>
      </w:pPr>
      <w:r>
        <w:rPr>
          <w:sz w:val="22"/>
          <w:szCs w:val="22"/>
        </w:rPr>
        <w:t>11.6 A falsidade de declaração prestada, em qualquer das declarações exigidas neste Edital, caracterizará o crime de que trata o art. 299 do código penal, além da sanção prevista no item 21.3.3 deste Edital.</w:t>
      </w:r>
    </w:p>
    <w:p>
      <w:pPr>
        <w:spacing w:before="0"/>
        <w:jc w:val="both"/>
        <w:rPr>
          <w:sz w:val="22"/>
          <w:szCs w:val="22"/>
        </w:rPr>
      </w:pPr>
      <w:r>
        <w:rPr>
          <w:sz w:val="22"/>
          <w:szCs w:val="22"/>
        </w:rPr>
        <w:t>11.7. A aplicação da multa de mora não impede que a Administração rescinda unilateralmente o contrato e aplique as outras sanções previstas no item 11.3 desta Ata e na Lei Federal nº. 8.666/93;</w:t>
      </w:r>
    </w:p>
    <w:p>
      <w:pPr>
        <w:spacing w:before="0"/>
        <w:jc w:val="both"/>
        <w:rPr>
          <w:sz w:val="22"/>
          <w:szCs w:val="22"/>
        </w:rPr>
      </w:pPr>
      <w:r>
        <w:rPr>
          <w:sz w:val="22"/>
          <w:szCs w:val="22"/>
        </w:rPr>
        <w:t>11.8 As sanções previstas nas alíneas “a”, “b” e “c” do item 11.3, não são cumulativas entre si, mas poderão ser aplicadas juntamente com a multa compensatória por perdas e danos.</w:t>
      </w:r>
    </w:p>
    <w:p>
      <w:pPr>
        <w:spacing w:before="0"/>
        <w:jc w:val="both"/>
        <w:rPr>
          <w:sz w:val="22"/>
          <w:szCs w:val="22"/>
        </w:rPr>
      </w:pPr>
      <w:r/>
      <w:bookmarkStart w:id="1" w:name="art87_3"/>
      <w:bookmarkEnd w:id="1"/>
      <w:r/>
      <w:r>
        <w:rPr>
          <w:sz w:val="22"/>
          <w:szCs w:val="22"/>
        </w:rPr>
        <w:t xml:space="preserve">11.9. As sanções administrativas somente serão aplicadas mediante regular processo administrativo, assegurada </w:t>
      </w:r>
      <w:r>
        <w:rPr>
          <w:sz w:val="22"/>
          <w:szCs w:val="22"/>
        </w:rPr>
        <w:t>a</w:t>
      </w:r>
      <w:r>
        <w:rPr>
          <w:sz w:val="22"/>
          <w:szCs w:val="22"/>
        </w:rPr>
        <w:t xml:space="preserve"> ampla defesa e o contraditório, observando-se as seguintes regras:</w:t>
      </w:r>
      <w:r>
        <w:rPr>
          <w:sz w:val="22"/>
          <w:szCs w:val="22"/>
        </w:rPr>
      </w:r>
    </w:p>
    <w:p>
      <w:pPr>
        <w:spacing w:before="0"/>
        <w:jc w:val="both"/>
        <w:rPr>
          <w:sz w:val="22"/>
          <w:szCs w:val="22"/>
        </w:rPr>
      </w:pPr>
      <w:r>
        <w:rPr>
          <w:sz w:val="22"/>
          <w:szCs w:val="22"/>
        </w:rPr>
        <w:t>11.9.1. Antes da aplicação de qualquer sanção administrativa, deverá notificar o licitante contratado, facultando-lhe a apresentação de defesa prévia;</w:t>
      </w:r>
    </w:p>
    <w:p>
      <w:pPr>
        <w:spacing w:before="0"/>
        <w:jc w:val="both"/>
        <w:rPr>
          <w:sz w:val="22"/>
          <w:szCs w:val="22"/>
        </w:rPr>
      </w:pPr>
      <w:r>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rPr>
          <w:sz w:val="22"/>
          <w:szCs w:val="22"/>
        </w:rPr>
      </w:pPr>
      <w:r>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pPr>
        <w:spacing w:before="0"/>
        <w:jc w:val="both"/>
        <w:rPr>
          <w:sz w:val="22"/>
          <w:szCs w:val="22"/>
        </w:rPr>
      </w:pPr>
      <w:r>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pPr>
        <w:spacing w:before="0"/>
        <w:jc w:val="both"/>
        <w:rPr>
          <w:sz w:val="22"/>
          <w:szCs w:val="22"/>
        </w:rPr>
      </w:pPr>
      <w:r>
        <w:rPr>
          <w:sz w:val="22"/>
          <w:szCs w:val="22"/>
        </w:rPr>
        <w:t>11.11.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pPr>
        <w:spacing w:before="0"/>
        <w:jc w:val="both"/>
        <w:rPr>
          <w:sz w:val="22"/>
          <w:szCs w:val="22"/>
        </w:rPr>
      </w:pPr>
      <w:r>
        <w:rPr>
          <w:sz w:val="22"/>
          <w:szCs w:val="22"/>
        </w:rPr>
        <w:t>11.12. O recurso administrativo a que se refere a alínea anterior será submetido à análise da Procuradoria Geral do Município.</w:t>
      </w:r>
    </w:p>
    <w:p>
      <w:pPr>
        <w:spacing w:before="0"/>
        <w:jc w:val="both"/>
        <w:rPr>
          <w:sz w:val="22"/>
          <w:szCs w:val="22"/>
        </w:rPr>
      </w:pPr>
      <w:r>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sz w:val="22"/>
          <w:szCs w:val="22"/>
        </w:rPr>
      </w:pPr>
      <w:r>
        <w:rPr>
          <w:sz w:val="22"/>
          <w:szCs w:val="22"/>
        </w:rPr>
        <w:t>11.14. Em qualquer caso, se após o desconto dos valores relativos às multas restar valor residual em desfavor do licitante contratado, é obrigatória a cobrança judicial da diferença.</w:t>
      </w:r>
    </w:p>
    <w:p>
      <w:pPr>
        <w:spacing w:before="0"/>
        <w:jc w:val="both"/>
        <w:rPr>
          <w:sz w:val="22"/>
          <w:szCs w:val="22"/>
        </w:rPr>
      </w:pPr>
      <w:r>
        <w:rPr>
          <w:sz w:val="22"/>
          <w:szCs w:val="22"/>
        </w:rPr>
      </w:r>
    </w:p>
    <w:p>
      <w:pPr>
        <w:spacing w:before="0"/>
        <w:jc w:val="both"/>
        <w:rPr>
          <w:b/>
          <w:sz w:val="22"/>
          <w:szCs w:val="22"/>
        </w:rPr>
      </w:pPr>
      <w:r>
        <w:rPr>
          <w:b/>
          <w:sz w:val="22"/>
          <w:szCs w:val="22"/>
        </w:rPr>
        <w:t>CLÁUSULA DÉCIMA SEGUNDA - DA RESCISÃO</w:t>
      </w:r>
    </w:p>
    <w:p>
      <w:pPr>
        <w:spacing w:before="0"/>
        <w:jc w:val="both"/>
        <w:rPr>
          <w:sz w:val="22"/>
          <w:szCs w:val="22"/>
        </w:rPr>
      </w:pPr>
      <w:r>
        <w:rPr>
          <w:sz w:val="22"/>
          <w:szCs w:val="22"/>
        </w:rPr>
        <w:t>12.1. A rescisão da Ata poderá ocorrer nas hipóteses e condições previstas nos artigos 78 e 79 da Lei nº 8.666/93, no que couberem, com aplicação do art. 80 da mesma Lei, se for o caso.</w:t>
      </w:r>
    </w:p>
    <w:p>
      <w:pPr>
        <w:spacing w:before="0"/>
        <w:jc w:val="both"/>
        <w:rPr>
          <w:sz w:val="22"/>
          <w:szCs w:val="22"/>
        </w:rPr>
      </w:pPr>
      <w:r>
        <w:rPr>
          <w:sz w:val="22"/>
          <w:szCs w:val="22"/>
        </w:rPr>
      </w:r>
    </w:p>
    <w:p>
      <w:pPr>
        <w:spacing w:before="0"/>
        <w:jc w:val="both"/>
        <w:rPr>
          <w:b/>
          <w:sz w:val="22"/>
          <w:szCs w:val="22"/>
        </w:rPr>
      </w:pPr>
      <w:r>
        <w:rPr>
          <w:b/>
          <w:sz w:val="22"/>
          <w:szCs w:val="22"/>
        </w:rPr>
        <w:t>CLÁUSULA DÉCIMA TERCEIRA - DOS ADITAMENTOS</w:t>
      </w:r>
    </w:p>
    <w:p>
      <w:pPr>
        <w:spacing w:before="0"/>
        <w:jc w:val="both"/>
        <w:rPr>
          <w:sz w:val="22"/>
          <w:szCs w:val="22"/>
        </w:rPr>
      </w:pPr>
      <w:r>
        <w:rPr>
          <w:sz w:val="22"/>
          <w:szCs w:val="22"/>
        </w:rPr>
        <w:t>13.1. A presente Ata poderá ser aditada, estritamente, nos termos previstos na Lei no 8.666/93, após manifestação formal da Procuradoria Geral do Município.</w:t>
      </w:r>
    </w:p>
    <w:p>
      <w:pPr>
        <w:spacing w:before="0"/>
        <w:jc w:val="both"/>
        <w:rPr>
          <w:sz w:val="22"/>
          <w:szCs w:val="22"/>
        </w:rPr>
      </w:pPr>
      <w:r>
        <w:rPr>
          <w:sz w:val="22"/>
          <w:szCs w:val="22"/>
        </w:rPr>
      </w:r>
    </w:p>
    <w:p>
      <w:pPr>
        <w:spacing w:before="0"/>
        <w:jc w:val="both"/>
        <w:rPr>
          <w:b/>
          <w:sz w:val="22"/>
          <w:szCs w:val="22"/>
        </w:rPr>
      </w:pPr>
      <w:r>
        <w:rPr>
          <w:b/>
          <w:sz w:val="22"/>
          <w:szCs w:val="22"/>
        </w:rPr>
        <w:t>CLÁUSULA DÉCIMA QUARTA - DOS RECURSOS ADMINISTRATIVOS</w:t>
      </w:r>
    </w:p>
    <w:p>
      <w:pPr>
        <w:spacing w:before="0"/>
        <w:jc w:val="both"/>
        <w:rPr>
          <w:sz w:val="22"/>
          <w:szCs w:val="22"/>
        </w:rPr>
      </w:pPr>
      <w:r>
        <w:rPr>
          <w:sz w:val="22"/>
          <w:szCs w:val="22"/>
        </w:rPr>
        <w:t>14.1. Os recursos, representação e pedido de reconsideração, somente serão acolhidos nos termos do art. 109, da Lei no 8.666/93 e alterações posteriores.</w:t>
      </w:r>
    </w:p>
    <w:p>
      <w:pPr>
        <w:spacing w:before="0"/>
        <w:jc w:val="both"/>
        <w:rPr>
          <w:sz w:val="22"/>
          <w:szCs w:val="22"/>
        </w:rPr>
      </w:pPr>
      <w:r>
        <w:rPr>
          <w:sz w:val="22"/>
          <w:szCs w:val="22"/>
        </w:rPr>
      </w:r>
    </w:p>
    <w:p>
      <w:pPr>
        <w:spacing w:before="0"/>
        <w:jc w:val="both"/>
        <w:rPr>
          <w:b/>
          <w:sz w:val="22"/>
          <w:szCs w:val="22"/>
        </w:rPr>
      </w:pPr>
      <w:r>
        <w:rPr>
          <w:b/>
          <w:sz w:val="22"/>
          <w:szCs w:val="22"/>
        </w:rPr>
        <w:t>CLÁUSULA DÉCIMA QUINTA - DO ACOMPANHAMENTO E DA FISCALIZAÇÃO</w:t>
      </w:r>
    </w:p>
    <w:p>
      <w:pPr>
        <w:spacing w:before="0"/>
        <w:jc w:val="both"/>
        <w:rPr>
          <w:sz w:val="22"/>
          <w:szCs w:val="22"/>
        </w:rPr>
      </w:pPr>
      <w:r>
        <w:rPr>
          <w:sz w:val="22"/>
          <w:szCs w:val="22"/>
        </w:rPr>
        <w:t>15.1. A execução do contrato será acompanhada pelos servidores representantes da administração municipal: representando a Secretaria Municipal de Educação e Cultura Sabrina Moschen e representando a Secretaria Municipal do Trabalho, Assistência e Desenvolvimento Social Leidimar Romagna, designados representantes da Administração nos termos do art. 67 da Lei nº 8.666/93, que deverá atestar à execução do objeto contratado, observadas as disposições deste Contrato, sem o que não será permitido qualquer pagamento.</w:t>
      </w:r>
    </w:p>
    <w:p>
      <w:pPr>
        <w:spacing w:before="0"/>
        <w:jc w:val="both"/>
        <w:rPr>
          <w:sz w:val="22"/>
          <w:szCs w:val="22"/>
        </w:rPr>
      </w:pPr>
      <w:r>
        <w:rPr>
          <w:sz w:val="22"/>
          <w:szCs w:val="22"/>
        </w:rPr>
        <w:t>15.2. Quando necessário, serão efetuados testes por amostragem para avaliação dos produtos, utilizando uma quantidade entre 1 e 10% de cada item do empenho, escolhidos aleatoriamente.</w:t>
      </w:r>
    </w:p>
    <w:p>
      <w:pPr>
        <w:spacing w:before="0"/>
        <w:jc w:val="both"/>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pPr>
        <w:spacing w:before="0"/>
        <w:jc w:val="both"/>
        <w:rPr>
          <w:sz w:val="22"/>
          <w:szCs w:val="22"/>
        </w:rPr>
      </w:pPr>
      <w:r>
        <w:rPr>
          <w:sz w:val="22"/>
          <w:szCs w:val="22"/>
        </w:rPr>
        <w:t>15.4. A ação da fiscalização não exonera a Contratada de suas responsabilidades contratuais.</w:t>
      </w:r>
    </w:p>
    <w:p>
      <w:pPr>
        <w:spacing w:before="0"/>
        <w:jc w:val="both"/>
        <w:rPr>
          <w:sz w:val="22"/>
          <w:szCs w:val="22"/>
        </w:rPr>
      </w:pPr>
      <w:r>
        <w:rPr>
          <w:sz w:val="22"/>
          <w:szCs w:val="22"/>
        </w:rPr>
      </w:r>
    </w:p>
    <w:p>
      <w:pPr>
        <w:spacing w:before="0"/>
        <w:jc w:val="both"/>
        <w:rPr>
          <w:b/>
          <w:sz w:val="22"/>
          <w:szCs w:val="22"/>
        </w:rPr>
      </w:pPr>
      <w:r>
        <w:rPr>
          <w:b/>
          <w:sz w:val="22"/>
          <w:szCs w:val="22"/>
        </w:rPr>
        <w:t>CLÁUSULA DÉCIMA SEXTA - DO FORO</w:t>
      </w:r>
    </w:p>
    <w:p>
      <w:pPr>
        <w:spacing w:before="0"/>
        <w:jc w:val="both"/>
        <w:rPr>
          <w:sz w:val="22"/>
          <w:szCs w:val="22"/>
        </w:rPr>
      </w:pPr>
      <w:r>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pPr>
        <w:pStyle w:val="para37"/>
        <w:spacing w:before="0"/>
        <w:jc w:val="both"/>
        <w:widowControl w:val="0"/>
        <w:rPr>
          <w:rFonts w:ascii="Times New Roman" w:hAnsi="Times New Roman"/>
        </w:rPr>
      </w:pPr>
      <w:r>
        <w:rPr>
          <w:rFonts w:ascii="Times New Roman" w:hAnsi="Times New Roman"/>
        </w:rPr>
      </w:r>
    </w:p>
    <w:p>
      <w:pPr>
        <w:pStyle w:val="para37"/>
        <w:spacing w:before="0"/>
        <w:jc w:val="both"/>
        <w:widowControl w:val="0"/>
        <w:rPr>
          <w:rFonts w:ascii="Times New Roman" w:hAnsi="Times New Roman"/>
        </w:rPr>
      </w:pPr>
      <w:r>
        <w:rPr>
          <w:rFonts w:ascii="Times New Roman" w:hAnsi="Times New Roman"/>
        </w:rPr>
        <w:t>E, por estarem justos e contratados, assinam o presente em duas vias de igual teor e forma, para igual distribuição, para que produza seus efeitos legais.</w:t>
      </w:r>
    </w:p>
    <w:p>
      <w:pPr>
        <w:pStyle w:val="para37"/>
        <w:spacing w:before="0"/>
        <w:jc w:val="both"/>
        <w:widowControl w:val="0"/>
        <w:rPr>
          <w:rFonts w:ascii="Times New Roman" w:hAnsi="Times New Roman"/>
        </w:rPr>
      </w:pPr>
      <w:r>
        <w:rPr>
          <w:rFonts w:ascii="Times New Roman" w:hAnsi="Times New Roman"/>
        </w:rPr>
      </w:r>
    </w:p>
    <w:p>
      <w:pPr>
        <w:pStyle w:val="para37"/>
        <w:spacing w:before="0"/>
        <w:jc w:val="both"/>
        <w:widowControl w:val="0"/>
        <w:rPr>
          <w:rFonts w:ascii="Times New Roman" w:hAnsi="Times New Roman"/>
        </w:rPr>
      </w:pPr>
      <w:r>
        <w:rPr>
          <w:rFonts w:ascii="Times New Roman" w:hAnsi="Times New Roman"/>
        </w:rPr>
        <w:t>São Domingos do Norte/ES, XX de março de 2020.</w:t>
      </w:r>
    </w:p>
    <w:p>
      <w:pPr>
        <w:spacing w:before="0"/>
        <w:jc w:val="both"/>
        <w:rPr>
          <w:color w:val="000000"/>
          <w:sz w:val="22"/>
          <w:szCs w:val="22"/>
        </w:rPr>
      </w:pPr>
      <w:r>
        <w:rPr>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rPr>
      </w:pPr>
      <w:r>
        <w:rPr>
          <w:b/>
          <w:iCs/>
          <w:color w:val="000000"/>
          <w:sz w:val="22"/>
          <w:szCs w:val="22"/>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spacing w:before="0"/>
        <w:jc w:val="both"/>
        <w:rPr>
          <w:b/>
          <w:iCs/>
          <w:color w:val="000000"/>
          <w:sz w:val="22"/>
          <w:szCs w:val="22"/>
          <w:u w:color="auto" w:val="single"/>
        </w:rPr>
      </w:pPr>
      <w:r>
        <w:rPr>
          <w:b/>
          <w:iCs/>
          <w:color w:val="000000"/>
          <w:sz w:val="22"/>
          <w:szCs w:val="22"/>
          <w:u w:color="auto" w:val="single"/>
        </w:rPr>
      </w:r>
    </w:p>
    <w:p>
      <w:pPr>
        <w:rPr>
          <w:b/>
          <w:iCs/>
          <w:sz w:val="22"/>
          <w:szCs w:val="22"/>
        </w:rPr>
      </w:pPr>
      <w:r>
        <w:rPr>
          <w:b/>
          <w:iCs/>
          <w:sz w:val="22"/>
          <w:szCs w:val="22"/>
        </w:rPr>
      </w:r>
    </w:p>
    <w:p>
      <w:pPr>
        <w:rPr>
          <w:b/>
          <w:iCs/>
          <w:sz w:val="22"/>
          <w:szCs w:val="22"/>
        </w:rPr>
      </w:pPr>
      <w:r>
        <w:rPr>
          <w:b/>
          <w:iCs/>
          <w:sz w:val="22"/>
          <w:szCs w:val="22"/>
        </w:rPr>
      </w:r>
    </w:p>
    <w:p>
      <w:pPr>
        <w:rPr>
          <w:b/>
          <w:iCs/>
          <w:sz w:val="22"/>
          <w:szCs w:val="22"/>
        </w:rPr>
      </w:pPr>
      <w:r>
        <w:rPr>
          <w:b/>
          <w:iCs/>
          <w:sz w:val="22"/>
          <w:szCs w:val="22"/>
        </w:rPr>
      </w:r>
    </w:p>
    <w:p>
      <w:pPr>
        <w:rPr>
          <w:b/>
          <w:iCs/>
          <w:sz w:val="22"/>
          <w:szCs w:val="22"/>
        </w:rPr>
      </w:pPr>
      <w:r>
        <w:rPr>
          <w:b/>
          <w:iCs/>
          <w:sz w:val="22"/>
          <w:szCs w:val="22"/>
        </w:rPr>
      </w:r>
    </w:p>
    <w:p>
      <w:pPr>
        <w:rPr>
          <w:b/>
          <w:iCs/>
          <w:sz w:val="22"/>
          <w:szCs w:val="22"/>
        </w:rPr>
      </w:pPr>
      <w:r>
        <w:rPr>
          <w:b/>
          <w:iCs/>
          <w:sz w:val="22"/>
          <w:szCs w:val="22"/>
        </w:rPr>
      </w:r>
    </w:p>
    <w:p>
      <w:pPr>
        <w:rPr>
          <w:b/>
          <w:iCs/>
          <w:sz w:val="22"/>
          <w:szCs w:val="22"/>
        </w:rPr>
      </w:pPr>
      <w:r>
        <w:rPr>
          <w:b/>
          <w:iCs/>
          <w:sz w:val="22"/>
          <w:szCs w:val="22"/>
        </w:rPr>
      </w:r>
    </w:p>
    <w:p>
      <w:pPr>
        <w:rPr>
          <w:b/>
          <w:iCs/>
          <w:sz w:val="22"/>
          <w:szCs w:val="22"/>
        </w:rPr>
      </w:pPr>
      <w:r>
        <w:rPr>
          <w:b/>
          <w:iCs/>
          <w:sz w:val="22"/>
          <w:szCs w:val="22"/>
        </w:rPr>
      </w:r>
    </w:p>
    <w:p>
      <w:pPr>
        <w:rPr>
          <w:b/>
          <w:iCs/>
          <w:sz w:val="22"/>
          <w:szCs w:val="22"/>
        </w:rPr>
      </w:pPr>
      <w:r>
        <w:rPr>
          <w:b/>
          <w:iCs/>
          <w:sz w:val="22"/>
          <w:szCs w:val="22"/>
        </w:rPr>
      </w:r>
    </w:p>
    <w:p>
      <w:pPr>
        <w:rPr>
          <w:b/>
          <w:iCs/>
          <w:sz w:val="22"/>
          <w:szCs w:val="22"/>
        </w:rPr>
      </w:pPr>
      <w:r>
        <w:rPr>
          <w:b/>
          <w:iCs/>
          <w:sz w:val="22"/>
          <w:szCs w:val="22"/>
        </w:rPr>
      </w:r>
    </w:p>
    <w:p>
      <w:pPr>
        <w:rPr>
          <w:b/>
          <w:iCs/>
          <w:sz w:val="22"/>
          <w:szCs w:val="22"/>
        </w:rPr>
      </w:pPr>
      <w:r>
        <w:rPr>
          <w:b/>
          <w:iCs/>
          <w:sz w:val="22"/>
          <w:szCs w:val="22"/>
        </w:rPr>
      </w:r>
    </w:p>
    <w:p>
      <w:pPr>
        <w:rPr>
          <w:b/>
          <w:iCs/>
          <w:sz w:val="22"/>
          <w:szCs w:val="22"/>
        </w:rPr>
      </w:pPr>
      <w:r>
        <w:rPr>
          <w:b/>
          <w:iCs/>
          <w:sz w:val="22"/>
          <w:szCs w:val="22"/>
        </w:rPr>
      </w:r>
    </w:p>
    <w:p>
      <w:pPr>
        <w:rPr>
          <w:b/>
          <w:iCs/>
          <w:sz w:val="22"/>
          <w:szCs w:val="22"/>
        </w:rPr>
      </w:pPr>
      <w:r>
        <w:rPr>
          <w:b/>
          <w:iCs/>
          <w:sz w:val="22"/>
          <w:szCs w:val="22"/>
        </w:rPr>
        <w:t>ANEXO X</w:t>
      </w:r>
    </w:p>
    <w:p>
      <w:pPr>
        <w:rPr>
          <w:b/>
          <w:iCs/>
          <w:sz w:val="22"/>
          <w:szCs w:val="22"/>
        </w:rPr>
      </w:pPr>
      <w:r>
        <w:rPr>
          <w:b/>
          <w:iCs/>
          <w:sz w:val="22"/>
          <w:szCs w:val="22"/>
        </w:rPr>
      </w:r>
    </w:p>
    <w:p>
      <w:pPr>
        <w:rPr>
          <w:sz w:val="22"/>
          <w:szCs w:val="22"/>
        </w:rPr>
      </w:pPr>
      <w:r>
        <w:rPr>
          <w:sz w:val="22"/>
          <w:szCs w:val="22"/>
        </w:rPr>
        <w:t>DECLARAÇÃO DE IDONEIDADE</w:t>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11/2020 – REGISTRO DE PREÇOS.</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spacing/>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11/2020, que a empresa citada acima  NÃO se encontra declarada inidônea para licitar ou contratar com órgãos da Administração Pública Federal, Estadual, Municipal e do Distrito Federal.</w:t>
      </w:r>
    </w:p>
    <w:p>
      <w:pPr>
        <w:rPr>
          <w:sz w:val="22"/>
          <w:szCs w:val="22"/>
        </w:rPr>
      </w:pPr>
      <w:r>
        <w:rPr>
          <w:sz w:val="22"/>
          <w:szCs w:val="22"/>
        </w:rPr>
      </w:r>
    </w:p>
    <w:p>
      <w:pPr>
        <w:spacing/>
        <w:jc w:val="both"/>
        <w:rPr>
          <w:sz w:val="22"/>
          <w:szCs w:val="22"/>
        </w:rPr>
      </w:pPr>
      <w:r>
        <w:rPr>
          <w:sz w:val="22"/>
          <w:szCs w:val="22"/>
        </w:rPr>
      </w:r>
    </w:p>
    <w:p>
      <w:pPr>
        <w:spacing/>
        <w:jc w:val="both"/>
        <w:rPr>
          <w:sz w:val="22"/>
          <w:szCs w:val="22"/>
        </w:rPr>
      </w:pPr>
      <w:r>
        <w:rPr>
          <w:sz w:val="22"/>
          <w:szCs w:val="22"/>
        </w:rPr>
        <w:t>_______________________, _____ de ____________________ de 2020.</w:t>
      </w:r>
    </w:p>
    <w:p>
      <w:pPr>
        <w:spacing/>
        <w:jc w:val="both"/>
        <w:rPr>
          <w:sz w:val="22"/>
          <w:szCs w:val="22"/>
        </w:rPr>
      </w:pPr>
      <w:r>
        <w:rPr>
          <w:sz w:val="22"/>
          <w:szCs w:val="22"/>
        </w:rPr>
      </w:r>
    </w:p>
    <w:p>
      <w:pPr>
        <w:spacing/>
        <w:jc w:val="both"/>
        <w:rPr>
          <w:sz w:val="22"/>
          <w:szCs w:val="22"/>
        </w:rPr>
      </w:pPr>
      <w:r>
        <w:rPr>
          <w:sz w:val="22"/>
          <w:szCs w:val="22"/>
        </w:rPr>
        <w:tab/>
        <w:tab/>
        <w:tab/>
      </w:r>
    </w:p>
    <w:p>
      <w:pPr>
        <w:spacing/>
        <w:jc w:val="both"/>
        <w:rPr>
          <w:sz w:val="22"/>
          <w:szCs w:val="22"/>
        </w:rPr>
      </w:pPr>
      <w:r>
        <w:rPr>
          <w:sz w:val="22"/>
          <w:szCs w:val="22"/>
        </w:rPr>
        <w:t>(Nome completo por extenso do responsável pela Pessoa Jurídica)</w:t>
      </w:r>
    </w:p>
    <w:p>
      <w:pPr>
        <w:spacing/>
        <w:jc w:val="both"/>
        <w:rPr>
          <w:sz w:val="22"/>
          <w:szCs w:val="22"/>
        </w:rPr>
      </w:pPr>
      <w:r>
        <w:rPr>
          <w:sz w:val="22"/>
          <w:szCs w:val="22"/>
        </w:rPr>
        <w:t>(assinatura e carimbo do CNPJ)</w:t>
      </w:r>
    </w:p>
    <w:p>
      <w:pPr>
        <w:spacing/>
        <w:jc w:val="both"/>
        <w:rPr>
          <w:b/>
          <w:sz w:val="22"/>
          <w:szCs w:val="22"/>
        </w:rPr>
      </w:pPr>
      <w:r>
        <w:rPr>
          <w:b/>
          <w:sz w:val="22"/>
          <w:szCs w:val="22"/>
        </w:rPr>
        <w:t>* Apresentar na habilitação</w:t>
      </w:r>
    </w:p>
    <w:p>
      <w:pPr>
        <w:rPr>
          <w:sz w:val="22"/>
          <w:szCs w:val="22"/>
        </w:rPr>
      </w:pPr>
      <w:r>
        <w:rPr>
          <w:sz w:val="22"/>
          <w:szCs w:val="22"/>
        </w:rPr>
      </w:r>
    </w:p>
    <w:p>
      <w:pPr>
        <w:rPr>
          <w:sz w:val="22"/>
          <w:szCs w:val="22"/>
        </w:rPr>
      </w:pPr>
      <w:r>
        <w:rPr>
          <w:sz w:val="22"/>
          <w:szCs w:val="22"/>
        </w:rPr>
      </w:r>
    </w:p>
    <w:p>
      <w:pPr>
        <w:spacing/>
        <w:jc w:val="both"/>
        <w:rPr>
          <w:sz w:val="22"/>
          <w:szCs w:val="22"/>
        </w:rPr>
      </w:pPr>
      <w:r>
        <w:rPr>
          <w:sz w:val="22"/>
          <w:szCs w:val="22"/>
        </w:rPr>
      </w:r>
    </w:p>
    <w:p>
      <w:pPr>
        <w:rPr>
          <w:sz w:val="22"/>
          <w:szCs w:val="22"/>
        </w:rPr>
      </w:pPr>
      <w:r>
        <w:rPr>
          <w:sz w:val="22"/>
          <w:szCs w:val="22"/>
        </w:rPr>
        <w:t xml:space="preserve">    </w:t>
      </w:r>
    </w:p>
    <w:p>
      <w:pPr>
        <w:rPr>
          <w:b/>
          <w:sz w:val="22"/>
          <w:szCs w:val="22"/>
        </w:rPr>
      </w:pPr>
      <w:r>
        <w:rPr>
          <w:b/>
          <w:sz w:val="22"/>
          <w:szCs w:val="22"/>
        </w:rPr>
      </w:r>
    </w:p>
    <w:p>
      <w:pPr>
        <w:rPr>
          <w:b/>
          <w:sz w:val="22"/>
          <w:szCs w:val="22"/>
        </w:rPr>
      </w:pPr>
      <w:r>
        <w:rPr>
          <w:b/>
          <w:sz w:val="22"/>
          <w:szCs w:val="22"/>
        </w:rPr>
      </w:r>
    </w:p>
    <w:p>
      <w:pPr>
        <w:rPr>
          <w:b/>
          <w:sz w:val="22"/>
          <w:szCs w:val="22"/>
        </w:rPr>
      </w:pPr>
      <w:r>
        <w:rPr>
          <w:b/>
          <w:sz w:val="22"/>
          <w:szCs w:val="22"/>
        </w:rPr>
        <w:t>ANEXO XI</w:t>
      </w:r>
    </w:p>
    <w:p>
      <w:pPr>
        <w:rPr>
          <w:sz w:val="22"/>
          <w:szCs w:val="22"/>
        </w:rPr>
      </w:pPr>
      <w:r>
        <w:rPr>
          <w:sz w:val="22"/>
          <w:szCs w:val="22"/>
        </w:rPr>
        <w:t>DECLARAÇÃO PARA MICROEMPRESA E EMPRESA DE PEQUENO PORTE</w:t>
      </w:r>
    </w:p>
    <w:p>
      <w:pPr>
        <w:rPr>
          <w:sz w:val="22"/>
          <w:szCs w:val="22"/>
        </w:rPr>
      </w:pPr>
      <w:r>
        <w:rPr>
          <w:sz w:val="22"/>
          <w:szCs w:val="22"/>
        </w:rPr>
      </w:r>
    </w:p>
    <w:p>
      <w:pPr>
        <w:rPr>
          <w:sz w:val="22"/>
          <w:szCs w:val="22"/>
        </w:rPr>
      </w:pPr>
      <w:r>
        <w:rPr>
          <w:sz w:val="22"/>
          <w:szCs w:val="22"/>
        </w:rPr>
      </w:r>
    </w:p>
    <w:p>
      <w:pPr>
        <w:rPr>
          <w:sz w:val="22"/>
          <w:szCs w:val="22"/>
        </w:rPr>
      </w:pPr>
      <w:r>
        <w:rPr>
          <w:sz w:val="22"/>
          <w:szCs w:val="22"/>
        </w:rPr>
        <w:t>(Utilizar, papel timbrado da empresa licitante)</w:t>
      </w:r>
    </w:p>
    <w:p>
      <w:pPr>
        <w:rPr>
          <w:sz w:val="22"/>
          <w:szCs w:val="22"/>
        </w:rPr>
      </w:pPr>
      <w:r>
        <w:rPr>
          <w:sz w:val="22"/>
          <w:szCs w:val="22"/>
        </w:rPr>
      </w:r>
    </w:p>
    <w:p>
      <w:pPr>
        <w:rPr>
          <w:sz w:val="22"/>
          <w:szCs w:val="22"/>
        </w:rPr>
      </w:pPr>
      <w:r>
        <w:rPr>
          <w:sz w:val="22"/>
          <w:szCs w:val="22"/>
        </w:rPr>
      </w:r>
    </w:p>
    <w:p>
      <w:pPr>
        <w:rPr>
          <w:sz w:val="22"/>
          <w:szCs w:val="22"/>
        </w:rPr>
      </w:pPr>
      <w:r>
        <w:rPr>
          <w:sz w:val="22"/>
          <w:szCs w:val="22"/>
        </w:rPr>
        <w:t>PREGÃO PRESENCIAL Nº 11/2020 – REGISTRO DE PREÇOS.</w:t>
      </w:r>
    </w:p>
    <w:p>
      <w:pPr>
        <w:rPr>
          <w:sz w:val="22"/>
          <w:szCs w:val="22"/>
        </w:rPr>
      </w:pPr>
      <w:r>
        <w:rPr>
          <w:sz w:val="22"/>
          <w:szCs w:val="22"/>
        </w:rPr>
      </w:r>
    </w:p>
    <w:p>
      <w:pPr>
        <w:rPr>
          <w:sz w:val="22"/>
          <w:szCs w:val="22"/>
        </w:rPr>
      </w:pPr>
      <w:r>
        <w:rPr>
          <w:sz w:val="22"/>
          <w:szCs w:val="22"/>
        </w:rPr>
        <w:t>RAZÃO SOCIAL:</w:t>
      </w:r>
    </w:p>
    <w:p>
      <w:pPr>
        <w:rPr>
          <w:sz w:val="22"/>
          <w:szCs w:val="22"/>
        </w:rPr>
      </w:pPr>
      <w:r>
        <w:rPr>
          <w:sz w:val="22"/>
          <w:szCs w:val="22"/>
        </w:rPr>
        <w:t>CNPJ:</w:t>
      </w:r>
    </w:p>
    <w:p>
      <w:pPr>
        <w:rPr>
          <w:sz w:val="22"/>
          <w:szCs w:val="22"/>
        </w:rPr>
      </w:pPr>
      <w:r>
        <w:rPr>
          <w:sz w:val="22"/>
          <w:szCs w:val="22"/>
        </w:rPr>
      </w:r>
    </w:p>
    <w:p>
      <w:pPr>
        <w:rPr>
          <w:sz w:val="22"/>
          <w:szCs w:val="22"/>
        </w:rPr>
      </w:pPr>
      <w:r>
        <w:rPr>
          <w:sz w:val="22"/>
          <w:szCs w:val="22"/>
        </w:rPr>
      </w:r>
    </w:p>
    <w:p>
      <w:pPr>
        <w:spacing/>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jc w:val="both"/>
        <w:rPr>
          <w:sz w:val="22"/>
          <w:szCs w:val="22"/>
        </w:rPr>
      </w:pPr>
      <w:r>
        <w:rPr>
          <w:sz w:val="22"/>
          <w:szCs w:val="22"/>
        </w:rPr>
      </w:r>
    </w:p>
    <w:p>
      <w:pPr>
        <w:rPr>
          <w:sz w:val="22"/>
          <w:szCs w:val="22"/>
        </w:rPr>
      </w:pPr>
      <w:r>
        <w:rPr>
          <w:sz w:val="22"/>
          <w:szCs w:val="22"/>
        </w:rPr>
        <w:t xml:space="preserve"> </w:t>
      </w:r>
    </w:p>
    <w:p>
      <w:pPr>
        <w:rPr>
          <w:sz w:val="22"/>
          <w:szCs w:val="22"/>
        </w:rPr>
      </w:pPr>
      <w:r>
        <w:rPr>
          <w:sz w:val="22"/>
          <w:szCs w:val="22"/>
        </w:rPr>
        <w:t>_________________________, _____ de _________________ de 2020.</w:t>
      </w:r>
    </w:p>
    <w:p>
      <w:pPr>
        <w:rPr>
          <w:sz w:val="22"/>
          <w:szCs w:val="22"/>
        </w:rPr>
      </w:pPr>
      <w:r>
        <w:rPr>
          <w:sz w:val="22"/>
          <w:szCs w:val="22"/>
        </w:rPr>
      </w:r>
    </w:p>
    <w:p>
      <w:pPr>
        <w:rPr>
          <w:sz w:val="22"/>
          <w:szCs w:val="22"/>
        </w:rPr>
      </w:pPr>
      <w:r>
        <w:rPr>
          <w:sz w:val="22"/>
          <w:szCs w:val="22"/>
        </w:rPr>
        <w:tab/>
        <w:tab/>
      </w:r>
    </w:p>
    <w:p>
      <w:pPr>
        <w:rPr>
          <w:sz w:val="22"/>
          <w:szCs w:val="22"/>
        </w:rPr>
      </w:pPr>
      <w:r>
        <w:rPr>
          <w:sz w:val="22"/>
          <w:szCs w:val="22"/>
        </w:rPr>
        <w:t>(Nome completo por extenso do responsável pela Pessoa Jurídica)</w:t>
      </w:r>
    </w:p>
    <w:p>
      <w:pPr>
        <w:rPr>
          <w:sz w:val="22"/>
          <w:szCs w:val="22"/>
        </w:rPr>
      </w:pPr>
      <w:r>
        <w:rPr>
          <w:sz w:val="22"/>
          <w:szCs w:val="22"/>
        </w:rPr>
      </w:r>
    </w:p>
    <w:p>
      <w:pPr>
        <w:rPr>
          <w:sz w:val="22"/>
          <w:szCs w:val="22"/>
        </w:rPr>
      </w:pPr>
      <w:r>
        <w:rPr>
          <w:sz w:val="22"/>
          <w:szCs w:val="22"/>
        </w:rPr>
        <w:t>(assinatura e carimbo do CNPJ)</w:t>
      </w:r>
    </w:p>
    <w:p>
      <w:pPr>
        <w:rPr>
          <w:sz w:val="22"/>
          <w:szCs w:val="22"/>
        </w:rPr>
      </w:pPr>
      <w:r>
        <w:rPr>
          <w:sz w:val="22"/>
          <w:szCs w:val="22"/>
        </w:rPr>
      </w:r>
    </w:p>
    <w:p>
      <w:pPr>
        <w:ind w:left="360"/>
        <w:rPr>
          <w:color w:val="000000"/>
          <w:sz w:val="22"/>
          <w:szCs w:val="22"/>
        </w:rPr>
      </w:pPr>
      <w:r>
        <w:rPr>
          <w:b/>
          <w:sz w:val="22"/>
          <w:szCs w:val="22"/>
        </w:rPr>
        <w:t>* Apresentar no credenciamento</w:t>
      </w:r>
      <w:r>
        <w:rPr>
          <w:sz w:val="22"/>
          <w:szCs w:val="22"/>
        </w:rPr>
        <w:t>.</w:t>
      </w:r>
      <w:r>
        <w:rPr>
          <w:color w:val="000000"/>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9"/>
      <w:footerReference w:type="default" r:id="rId10"/>
      <w:type w:val="nextPage"/>
      <w:pgSz w:h="16840" w:w="11907"/>
      <w:pgMar w:left="1134" w:top="1701" w:right="1134" w:bottom="1661"/>
      <w:paperSrc w:first="0" w:other="0"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20500000000000000"/>
    <w:charset w:val="81"/>
    <w:family w:val="roman"/>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kBWLXh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9.00pt;height:17.45pt;z-index:251658241;mso-wrap-distance-left:0.00pt;mso-wrap-distance-top:0.00pt;mso-wrap-distance-right:0.00pt;mso-wrap-distance-bottom:0.00pt;mso-wrap-style:none" stroked="f" filled="f" v:ext="SMDATA_12_kBWLXh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kBWLXh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rPr>
    </w:pPr>
    <w:r>
      <w:rPr>
        <w:sz w:val="20"/>
      </w:rPr>
      <w:t>Prefeitura Municipal de São Domingos do Norte</w:t>
    </w:r>
    <w:r>
      <w:rPr>
        <w:rFonts w:ascii="Algerian" w:hAnsi="Algerian"/>
        <w:sz w:val="20"/>
      </w:rPr>
    </w:r>
  </w:p>
  <w:p>
    <w:pPr>
      <w:spacing w:before="0"/>
      <w:rPr>
        <w:color w:val="000000"/>
      </w:rPr>
    </w:pPr>
    <w:r>
      <w:rPr>
        <w:color w:val="000000"/>
      </w:rPr>
      <w:t>Rod. Gether Lopes de Farias, s/nº - Bairro Emílio Calegari - São Domingos do Norte/ES - CEP 29745-000</w:t>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2">
    <w:multiLevelType w:val="hybridMultilevel"/>
    <w:name w:val="Lista numerada 2"/>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
    <w:multiLevelType w:val="hybridMultilevel"/>
    <w:name w:val="Lista numerada 3"/>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4">
    <w:multiLevelType w:val="hybridMultilevel"/>
    <w:name w:val="Lista numerada 4"/>
    <w:lvl w:ilvl="0">
      <w:start w:val="1"/>
      <w:numFmt w:val="decimal"/>
      <w:suff w:val="tab"/>
      <w:lvlText w:val="%1."/>
      <w:lvlJc w:val="left"/>
      <w:pPr>
        <w:ind w:left="0" w:hanging="0"/>
      </w:pPr>
    </w:lvl>
    <w:lvl w:ilvl="1">
      <w:start w:val="1"/>
      <w:numFmt w:val="decimal"/>
      <w:suff w:val="tab"/>
      <w:lvlText w:val="%1.%2."/>
      <w:lvlJc w:val="left"/>
      <w:pPr>
        <w:ind w:left="360" w:hanging="0"/>
      </w:pPr>
    </w:lvl>
    <w:lvl w:ilvl="2">
      <w:start w:val="1"/>
      <w:numFmt w:val="decimal"/>
      <w:suff w:val="tab"/>
      <w:lvlText w:val="%1.%2.%3."/>
      <w:lvlJc w:val="left"/>
      <w:pPr>
        <w:ind w:left="720" w:hanging="0"/>
      </w:pPr>
    </w:lvl>
    <w:lvl w:ilvl="3">
      <w:start w:val="1"/>
      <w:numFmt w:val="decimal"/>
      <w:suff w:val="tab"/>
      <w:lvlText w:val="%1.%2.%3.%4."/>
      <w:lvlJc w:val="left"/>
      <w:pPr>
        <w:ind w:left="1080" w:hanging="0"/>
      </w:pPr>
    </w:lvl>
    <w:lvl w:ilvl="4">
      <w:start w:val="1"/>
      <w:numFmt w:val="decimal"/>
      <w:suff w:val="tab"/>
      <w:lvlText w:val="%1.%2.%3.%4.%5."/>
      <w:lvlJc w:val="left"/>
      <w:pPr>
        <w:ind w:left="1440" w:hanging="0"/>
      </w:pPr>
    </w:lvl>
    <w:lvl w:ilvl="5">
      <w:start w:val="1"/>
      <w:numFmt w:val="decimal"/>
      <w:suff w:val="tab"/>
      <w:lvlText w:val="%1.%2.%3.%4.%5.%6."/>
      <w:lvlJc w:val="left"/>
      <w:pPr>
        <w:ind w:left="1800" w:hanging="0"/>
      </w:pPr>
    </w:lvl>
    <w:lvl w:ilvl="6">
      <w:start w:val="1"/>
      <w:numFmt w:val="decimal"/>
      <w:suff w:val="tab"/>
      <w:lvlText w:val="%1.%2.%3.%4.%5.%6.%7."/>
      <w:lvlJc w:val="left"/>
      <w:pPr>
        <w:ind w:left="2160" w:hanging="0"/>
      </w:pPr>
    </w:lvl>
    <w:lvl w:ilvl="7">
      <w:start w:val="1"/>
      <w:numFmt w:val="decimal"/>
      <w:suff w:val="tab"/>
      <w:lvlText w:val="%1.%2.%3.%4.%5.%6.%7.%8."/>
      <w:lvlJc w:val="left"/>
      <w:pPr>
        <w:ind w:left="2520" w:hanging="0"/>
      </w:pPr>
    </w:lvl>
    <w:lvl w:ilvl="8">
      <w:start w:val="1"/>
      <w:numFmt w:val="decimal"/>
      <w:suff w:val="tab"/>
      <w:lvlText w:val="%1.%2.%3.%4.%5.%6.%7.%8.%9."/>
      <w:lvlJc w:val="left"/>
      <w:pPr>
        <w:ind w:left="2880" w:hanging="0"/>
      </w:pPr>
    </w:lvl>
  </w:abstractNum>
  <w:abstractNum w:abstractNumId="5">
    <w:multiLevelType w:val="hybridMultilevel"/>
    <w:name w:val="Lista numerada 5"/>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6">
    <w:multiLevelType w:val="hybridMultilevel"/>
    <w:name w:val="Lista numerada 6"/>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7">
    <w:multiLevelType w:val="hybridMultilevel"/>
    <w:name w:val="Lista numerada 7"/>
    <w:lvl w:ilvl="0">
      <w:numFmt w:val="bullet"/>
      <w:suff w:val="tab"/>
      <w:lvlText w:val=""/>
      <w:lvlJc w:val="left"/>
      <w:pPr>
        <w:ind w:left="0" w:hanging="0"/>
      </w:pPr>
      <w:rPr>
        <w:rFonts w:ascii="Symbol" w:hAnsi="Symbol"/>
      </w:rPr>
    </w:lvl>
    <w:lvl w:ilvl="1">
      <w:numFmt w:val="bullet"/>
      <w:suff w:val="tab"/>
      <w:lvlText w:val="o"/>
      <w:lvlJc w:val="left"/>
      <w:pPr>
        <w:ind w:left="1014" w:hanging="0"/>
      </w:pPr>
      <w:rPr>
        <w:rFonts w:ascii="Courier New" w:hAnsi="Courier New" w:cs="Courier New"/>
      </w:rPr>
    </w:lvl>
    <w:lvl w:ilvl="2">
      <w:numFmt w:val="bullet"/>
      <w:suff w:val="tab"/>
      <w:lvlText w:val=""/>
      <w:lvlJc w:val="left"/>
      <w:pPr>
        <w:ind w:left="1734" w:hanging="0"/>
      </w:pPr>
      <w:rPr>
        <w:rFonts w:ascii="Wingdings" w:hAnsi="Wingdings" w:eastAsia="Wingdings" w:cs="Wingdings"/>
      </w:rPr>
    </w:lvl>
    <w:lvl w:ilvl="3">
      <w:numFmt w:val="bullet"/>
      <w:suff w:val="tab"/>
      <w:lvlText w:val=""/>
      <w:lvlJc w:val="left"/>
      <w:pPr>
        <w:ind w:left="2454" w:hanging="0"/>
      </w:pPr>
      <w:rPr>
        <w:rFonts w:ascii="Symbol" w:hAnsi="Symbol"/>
      </w:rPr>
    </w:lvl>
    <w:lvl w:ilvl="4">
      <w:numFmt w:val="bullet"/>
      <w:suff w:val="tab"/>
      <w:lvlText w:val="o"/>
      <w:lvlJc w:val="left"/>
      <w:pPr>
        <w:ind w:left="3174" w:hanging="0"/>
      </w:pPr>
      <w:rPr>
        <w:rFonts w:ascii="Courier New" w:hAnsi="Courier New" w:cs="Courier New"/>
      </w:rPr>
    </w:lvl>
    <w:lvl w:ilvl="5">
      <w:numFmt w:val="bullet"/>
      <w:suff w:val="tab"/>
      <w:lvlText w:val=""/>
      <w:lvlJc w:val="left"/>
      <w:pPr>
        <w:ind w:left="3894" w:hanging="0"/>
      </w:pPr>
      <w:rPr>
        <w:rFonts w:ascii="Wingdings" w:hAnsi="Wingdings" w:eastAsia="Wingdings" w:cs="Wingdings"/>
      </w:rPr>
    </w:lvl>
    <w:lvl w:ilvl="6">
      <w:numFmt w:val="bullet"/>
      <w:suff w:val="tab"/>
      <w:lvlText w:val=""/>
      <w:lvlJc w:val="left"/>
      <w:pPr>
        <w:ind w:left="4614" w:hanging="0"/>
      </w:pPr>
      <w:rPr>
        <w:rFonts w:ascii="Symbol" w:hAnsi="Symbol"/>
      </w:rPr>
    </w:lvl>
    <w:lvl w:ilvl="7">
      <w:numFmt w:val="bullet"/>
      <w:suff w:val="tab"/>
      <w:lvlText w:val="o"/>
      <w:lvlJc w:val="left"/>
      <w:pPr>
        <w:ind w:left="5334" w:hanging="0"/>
      </w:pPr>
      <w:rPr>
        <w:rFonts w:ascii="Courier New" w:hAnsi="Courier New" w:cs="Courier New"/>
      </w:rPr>
    </w:lvl>
    <w:lvl w:ilvl="8">
      <w:numFmt w:val="bullet"/>
      <w:suff w:val="tab"/>
      <w:lvlText w:val=""/>
      <w:lvlJc w:val="left"/>
      <w:pPr>
        <w:ind w:left="6054" w:hanging="0"/>
      </w:pPr>
      <w:rPr>
        <w:rFonts w:ascii="Wingdings" w:hAnsi="Wingdings" w:eastAsia="Wingdings" w:cs="Wingdings"/>
      </w:rPr>
    </w:lvl>
  </w:abstractNum>
  <w:abstractNum w:abstractNumId="8">
    <w:multiLevelType w:val="hybridMultilevel"/>
    <w:name w:val="Lista numerada 8"/>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0">
    <w:multiLevelType w:val="hybridMultilevel"/>
    <w:name w:val="Lista numerada 10"/>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1">
    <w:multiLevelType w:val="hybridMultilevel"/>
    <w:name w:val="Lista numerada 11"/>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2">
    <w:multiLevelType w:val="hybridMultilevel"/>
    <w:name w:val="Lista numerada 1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3">
    <w:multiLevelType w:val="hybridMultilevel"/>
    <w:name w:val="Lista numerada 13"/>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4">
    <w:multiLevelType w:val="hybridMultilevel"/>
    <w:name w:val="Lista numerada 14"/>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5">
    <w:multiLevelType w:val="hybridMultilevel"/>
    <w:name w:val="Lista numerada 15"/>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6">
    <w:multiLevelType w:val="hybridMultilevel"/>
    <w:name w:val="Lista numerada 16"/>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7">
    <w:multiLevelType w:val="hybridMultilevel"/>
    <w:name w:val="Lista numerada 17"/>
    <w:lvl w:ilvl="0">
      <w:start w:val="20"/>
      <w:numFmt w:val="decimal"/>
      <w:suff w:val="tab"/>
      <w:lvlText w:val="%1"/>
      <w:lvlJc w:val="left"/>
      <w:pPr>
        <w:ind w:left="0" w:hanging="0"/>
      </w:pPr>
    </w:lvl>
    <w:lvl w:ilvl="1">
      <w:start w:val="1"/>
      <w:numFmt w:val="decimal"/>
      <w:suff w:val="tab"/>
      <w:lvlText w:val="%1.%2"/>
      <w:lvlJc w:val="left"/>
      <w:pPr>
        <w:ind w:left="-426" w:hanging="0"/>
      </w:pPr>
    </w:lvl>
    <w:lvl w:ilvl="2">
      <w:start w:val="1"/>
      <w:numFmt w:val="decimal"/>
      <w:suff w:val="tab"/>
      <w:lvlText w:val="%1.%2.%3"/>
      <w:lvlJc w:val="left"/>
      <w:pPr>
        <w:ind w:left="-852" w:hanging="0"/>
      </w:pPr>
    </w:lvl>
    <w:lvl w:ilvl="3">
      <w:start w:val="1"/>
      <w:numFmt w:val="decimal"/>
      <w:suff w:val="tab"/>
      <w:lvlText w:val="%1.%2.%3.%4"/>
      <w:lvlJc w:val="left"/>
      <w:pPr>
        <w:ind w:left="-1278" w:hanging="0"/>
      </w:pPr>
    </w:lvl>
    <w:lvl w:ilvl="4">
      <w:start w:val="1"/>
      <w:numFmt w:val="decimal"/>
      <w:suff w:val="tab"/>
      <w:lvlText w:val="%1.%2.%3.%4.%5"/>
      <w:lvlJc w:val="left"/>
      <w:pPr>
        <w:ind w:left="-1704" w:hanging="0"/>
      </w:pPr>
    </w:lvl>
    <w:lvl w:ilvl="5">
      <w:start w:val="1"/>
      <w:numFmt w:val="decimal"/>
      <w:suff w:val="tab"/>
      <w:lvlText w:val="%1.%2.%3.%4.%5.%6"/>
      <w:lvlJc w:val="left"/>
      <w:pPr>
        <w:ind w:left="-2130" w:hanging="0"/>
      </w:pPr>
    </w:lvl>
    <w:lvl w:ilvl="6">
      <w:start w:val="1"/>
      <w:numFmt w:val="decimal"/>
      <w:suff w:val="tab"/>
      <w:lvlText w:val="%1.%2.%3.%4.%5.%6.%7"/>
      <w:lvlJc w:val="left"/>
      <w:pPr>
        <w:ind w:left="-2556" w:hanging="0"/>
      </w:pPr>
    </w:lvl>
    <w:lvl w:ilvl="7">
      <w:start w:val="1"/>
      <w:numFmt w:val="decimal"/>
      <w:suff w:val="tab"/>
      <w:lvlText w:val="%1.%2.%3.%4.%5.%6.%7.%8"/>
      <w:lvlJc w:val="left"/>
      <w:pPr>
        <w:ind w:left="-2982" w:hanging="0"/>
      </w:pPr>
    </w:lvl>
    <w:lvl w:ilvl="8">
      <w:start w:val="1"/>
      <w:numFmt w:val="decimal"/>
      <w:suff w:val="tab"/>
      <w:lvlText w:val="%1.%2.%3.%4.%5.%6.%7.%8.%9"/>
      <w:lvlJc w:val="left"/>
      <w:pPr>
        <w:ind w:left="-3408" w:hanging="0"/>
      </w:pPr>
    </w:lvl>
  </w:abstractNum>
  <w:abstractNum w:abstractNumId="18">
    <w:multiLevelType w:val="hybridMultilevel"/>
    <w:name w:val="Lista numerada 18"/>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19">
    <w:multiLevelType w:val="hybridMultilevel"/>
    <w:name w:val="Lista numerada 19"/>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0">
    <w:multiLevelType w:val="hybridMultilevel"/>
    <w:name w:val="Lista numerada 20"/>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1">
    <w:multiLevelType w:val="hybridMultilevel"/>
    <w:name w:val="Lista numerada 21"/>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2">
    <w:multiLevelType w:val="hybridMultilevel"/>
    <w:name w:val="Lista numerada 22"/>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3">
    <w:multiLevelType w:val="hybridMultilevel"/>
    <w:name w:val="Lista numerada 23"/>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4">
    <w:multiLevelType w:val="hybridMultilevel"/>
    <w:name w:val="Lista numerada 24"/>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5">
    <w:multiLevelType w:val="hybridMultilevel"/>
    <w:name w:val="Lista numerada 25"/>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26">
    <w:multiLevelType w:val="hybridMultilevel"/>
    <w:name w:val="Lista numerada 26"/>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27">
    <w:multiLevelType w:val="hybridMultilevel"/>
    <w:name w:val="Lista numerada 27"/>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8">
    <w:multiLevelType w:val="hybridMultilevel"/>
    <w:name w:val="Lista numerada 28"/>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9">
    <w:multiLevelType w:val="hybridMultilevel"/>
    <w:name w:val="Lista numerada 29"/>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53"/>
    <w:tmReviewMarkIns w:val="4"/>
    <w:tmReviewColorIns w:val="-1"/>
    <w:tmReviewMarkDel w:val="6"/>
    <w:tmReviewColorDel w:val="-1"/>
    <w:tmReviewMarkFmt w:val="1"/>
    <w:tmReviewColorFmt w:val="-1"/>
    <w:tmReviewMarkLn w:val="1"/>
    <w:tmReviewColorLn w:val="0"/>
    <w:tmReviewToolTip w:val="1"/>
  </w:tmReviewPr>
  <w:tmLastPos>
    <w:tmLastPosPage w:val="9"/>
    <w:tmLastPosSelect w:val="0"/>
    <w:tmLastPosFrameIdx w:val="0"/>
    <w:tmLastPosCaret>
      <w:tmLastPosPgfIdx w:val="251"/>
      <w:tmLastPosIdx w:val="37"/>
    </w:tmLastPosCaret>
    <w:tmLastPosAnchor>
      <w:tmLastPosPgfIdx w:val="0"/>
      <w:tmLastPosIdx w:val="0"/>
    </w:tmLastPosAnchor>
    <w:tmLastPosTblRect w:left="0" w:top="0" w:right="0" w:bottom="0"/>
  </w:tmLastPos>
  <w:tmAppRevision w:date="1586173328"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4"/>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5"/>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paragraph" w:styleId="para44">
    <w:name w:val="Body Text 2"/>
    <w:qFormat/>
    <w:basedOn w:val="para0"/>
    <w:pPr>
      <w:spacing w:after="120" w:line="480" w:lineRule="auto"/>
    </w:p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Título 5 Char"/>
    <w:basedOn w:val="char0"/>
    <w:rPr>
      <w:sz w:val="24"/>
    </w:rPr>
  </w:style>
  <w:style w:type="character" w:styleId="char13" w:customStyle="1">
    <w:name w:val="Corpo de texto 2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4"/>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5"/>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19"/>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2"/>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customStyle="1">
    <w:name w:val="texto2"/>
    <w:qFormat/>
    <w:basedOn w:val="para0"/>
    <w:pPr>
      <w:spacing w:before="100" w:after="100" w:beforeAutospacing="1" w:afterAutospacing="1"/>
      <w:jc w:val="left"/>
    </w:pPr>
    <w:rPr>
      <w:sz w:val="24"/>
      <w:szCs w:val="24"/>
    </w:rPr>
  </w:style>
  <w:style w:type="paragraph" w:styleId="para43" w:customStyle="1">
    <w:name w:val="04partenormativa"/>
    <w:qFormat/>
    <w:basedOn w:val="para0"/>
    <w:pPr>
      <w:spacing w:before="100" w:after="100" w:beforeAutospacing="1" w:afterAutospacing="1"/>
      <w:jc w:val="left"/>
    </w:pPr>
    <w:rPr>
      <w:sz w:val="24"/>
      <w:szCs w:val="24"/>
    </w:rPr>
  </w:style>
  <w:style w:type="paragraph" w:styleId="para44">
    <w:name w:val="Body Text 2"/>
    <w:qFormat/>
    <w:basedOn w:val="para0"/>
    <w:pPr>
      <w:spacing w:after="120" w:line="480" w:lineRule="auto"/>
    </w:p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Título 5 Char"/>
    <w:basedOn w:val="char0"/>
    <w:rPr>
      <w:sz w:val="24"/>
    </w:rPr>
  </w:style>
  <w:style w:type="character" w:styleId="char13" w:customStyle="1">
    <w:name w:val="Corpo de texto 2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legislacao.planalto.gov.br/legisla/legislacao.nsf/Viw_Identificacao/lei%205.172-1966?OpenDocument"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53</cp:revision>
  <cp:lastPrinted>2020-03-19T18:08:45Z</cp:lastPrinted>
  <dcterms:created xsi:type="dcterms:W3CDTF">2017-01-18T09:29:00Z</dcterms:created>
  <dcterms:modified xsi:type="dcterms:W3CDTF">2020-04-06T11:42:08Z</dcterms:modified>
</cp:coreProperties>
</file>