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bmp" ContentType="image/bmp"/>
  <Default Extension="jpeg" ContentType="image/jpeg"/>
  <Default Extension="png" ContentType="image/png"/>
  <Default Extension="gif" ContentType="image/gif"/>
  <Default Extension="tif" ContentType="image/tif"/>
  <Default Extension="emf" ContentType="image/x-emf"/>
  <Default Extension="wmf" ContentType="image/x-wmf"/>
  <Default Extension="pct" ContentType="image/pct"/>
  <Default Extension="pcx" ContentType="image/pcx"/>
  <Default Extension="tga" ContentType="image/tga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tylesWithEffects.xml" ContentType="application/vnd.ms-word.stylesWithEffect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<?xml version="1.0" encoding="UTF-8" standalone="yes" 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0" w:line="240" w:lineRule="auto"/>
        <w:jc w:val="center"/>
        <w:widowControl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spacing w:after="0" w:line="240" w:lineRule="auto"/>
        <w:jc w:val="center"/>
        <w:widowControl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ATA DE DECISÃO DE HABILITAÇÃO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Aos três dias do mês de agosto do ano de dois mil e vinte, às 08h30min reuniram-se na Sala de Licitações da Prefeitura Municipal de São Domingos do Norte, os membros da Comissão Especial de Licitação (CEL), </w:t>
      </w:r>
      <w:r>
        <w:rPr>
          <w:rFonts w:ascii="Times New Roman" w:hAnsi="Times New Roman"/>
          <w:color w:val="000000"/>
          <w:sz w:val="24"/>
          <w:szCs w:val="24"/>
        </w:rPr>
        <w:t>designado pelo Excelentíssimo Senhor Prefeito Municipal através da Portaria nº 7.830, de 01 de julho de 2020,</w:t>
      </w:r>
      <w:r>
        <w:rPr>
          <w:rFonts w:ascii="Times New Roman" w:hAnsi="Times New Roman"/>
          <w:sz w:val="24"/>
          <w:szCs w:val="24"/>
        </w:rPr>
        <w:t xml:space="preserve"> abaixo assinados, com a incumbência de analisar e julgar o procedimento licitatório do tipo Tomada de Preços nº 03/2020 de São Domingos do Norte, referente a obter proposta mais vantajosa visando </w:t>
      </w:r>
      <w:r>
        <w:rPr>
          <w:rFonts w:ascii="Times New Roman" w:hAnsi="Times New Roman" w:eastAsia="Times New Roman"/>
          <w:color w:val="000000"/>
        </w:rPr>
        <w:t>contratação de empresa para execução indireta de empreitada por preço unitário, com fornecimento de mão de obra e material para a construção de um galpão comunitário no “Córrego São Benedito”. Tudo conforme Planilha Orçamentária, Memorial descritivo, Memorial de Cálculo, Projetos Detalhados</w:t>
      </w:r>
      <w:r>
        <w:rPr>
          <w:rFonts w:ascii="Times New Roman" w:hAnsi="Times New Roman"/>
          <w:sz w:val="24"/>
          <w:szCs w:val="24"/>
        </w:rPr>
        <w:t xml:space="preserve">. A Comissão tendo como objetivo instaurar a Sessão de Habilitação das Documentações, com vistas às normas estabelecidas na Lei n.º 8.666/93 e alterações posteriores e da Tomada de Preços nº 03/2020 de São Domingos do Norte, o qual estabelece critérios e fatores para análise das Documentações relativa ao objeto deste certame licitatório. A Comissão atestou a participação das empresas: </w:t>
      </w:r>
      <w:r>
        <w:rPr>
          <w:rFonts w:ascii="Times New Roman" w:hAnsi="Times New Roman"/>
          <w:color w:val="000000"/>
          <w:sz w:val="24"/>
          <w:szCs w:val="24"/>
        </w:rPr>
        <w:t>RL Construções e Locações LTDA e Construtora Schmidt Eireli. Dos fatos, após a conferência da documentação, a empresa Construtora Schmidt Eireli fez o questionamento quanto ao acervo técnico apresentado pela empresa RL Construções e Locações LTDA, pois seu atestado apresentado não contém a devida autenticação do CREA-ES; citou também que na demonstração contábil falta a assinatura do contador. O presidente da comissão fez a diligência ao órgão fiscalizador (CREA/ES) acessando via internet e consultando a veracidade da Certidão de Acervo Técnico - CAT n° 384/2020 e constatou que a mesma apresentada é verídica, porém de imediato não consegue ter acesso ao restante do acervo, ficando a ser verificado perante ao CREA-ES. Após diligência feita ao CREA-ES, o mesmo nos mandou a resposta da seguinte forma:</w:t>
      </w:r>
      <w:r>
        <w:rPr>
          <w:rFonts w:ascii="Times New Roman" w:hAnsi="Times New Roman"/>
          <w:color w:val="000000"/>
          <w:sz w:val="24"/>
          <w:szCs w:val="24"/>
        </w:rPr>
      </w:r>
    </w:p>
    <w:p>
      <w:pPr>
        <w:ind w:left="2268"/>
        <w:spacing w:after="0" w:line="240" w:lineRule="auto"/>
        <w:jc w:val="both"/>
        <w:widowControl w:val="0"/>
        <w:rPr>
          <w:rFonts w:ascii="Times New Roman" w:hAnsi="Times New Roman" w:eastAsia="SimSun"/>
          <w:kern w:val="1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“</w:t>
      </w:r>
      <w:r>
        <w:rPr>
          <w:rFonts w:ascii="Times New Roman" w:hAnsi="Times New Roman" w:eastAsia="SimSun"/>
          <w:kern w:val="1"/>
          <w:sz w:val="24"/>
          <w:szCs w:val="24"/>
        </w:rPr>
        <w:t>À Comissão de Licitação</w:t>
      </w:r>
      <w:r>
        <w:rPr>
          <w:rFonts w:ascii="Times New Roman" w:hAnsi="Times New Roman" w:eastAsia="SimSun"/>
          <w:kern w:val="1"/>
          <w:sz w:val="24"/>
          <w:szCs w:val="24"/>
        </w:rPr>
      </w:r>
    </w:p>
    <w:p>
      <w:pPr>
        <w:ind w:left="2268"/>
        <w:spacing w:after="0" w:line="240" w:lineRule="auto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Times New Roman" w:hAnsi="Times New Roman" w:eastAsia="SimSun"/>
          <w:kern w:val="1"/>
          <w:sz w:val="24"/>
          <w:szCs w:val="24"/>
        </w:rPr>
      </w:pPr>
      <w:r>
        <w:rPr>
          <w:rFonts w:ascii="Times New Roman" w:hAnsi="Times New Roman" w:eastAsia="SimSun"/>
          <w:kern w:val="1"/>
          <w:sz w:val="24"/>
          <w:szCs w:val="24"/>
        </w:rPr>
        <w:t>Sr. Presidente REINALDO GUARESCHI</w:t>
      </w:r>
    </w:p>
    <w:p>
      <w:pPr>
        <w:ind w:left="2268"/>
        <w:spacing w:after="0" w:line="240" w:lineRule="auto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Times New Roman" w:hAnsi="Times New Roman" w:eastAsia="SimSun"/>
          <w:kern w:val="1"/>
          <w:sz w:val="24"/>
          <w:szCs w:val="24"/>
        </w:rPr>
      </w:pPr>
      <w:r>
        <w:rPr>
          <w:rFonts w:ascii="Times New Roman" w:hAnsi="Times New Roman" w:eastAsia="SimSun"/>
          <w:kern w:val="1"/>
          <w:sz w:val="24"/>
          <w:szCs w:val="24"/>
        </w:rPr>
      </w:r>
    </w:p>
    <w:p>
      <w:pPr>
        <w:ind w:left="2268"/>
        <w:spacing w:after="0" w:line="240" w:lineRule="auto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Times New Roman" w:hAnsi="Times New Roman" w:eastAsia="SimSun"/>
          <w:kern w:val="1"/>
          <w:sz w:val="24"/>
          <w:szCs w:val="24"/>
        </w:rPr>
      </w:pPr>
      <w:r>
        <w:rPr>
          <w:rFonts w:ascii="Times New Roman" w:hAnsi="Times New Roman" w:eastAsia="SimSun"/>
          <w:kern w:val="1"/>
          <w:sz w:val="24"/>
          <w:szCs w:val="24"/>
        </w:rPr>
        <w:t>Ref. Certidão de Acervo Técnico n.º 384/2020</w:t>
      </w:r>
    </w:p>
    <w:p>
      <w:pPr>
        <w:ind w:left="2268"/>
        <w:spacing w:after="0" w:line="240" w:lineRule="auto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Times New Roman" w:hAnsi="Times New Roman" w:eastAsia="SimSun"/>
          <w:kern w:val="1"/>
          <w:sz w:val="24"/>
          <w:szCs w:val="24"/>
        </w:rPr>
      </w:pPr>
      <w:r>
        <w:rPr>
          <w:rFonts w:ascii="Times New Roman" w:hAnsi="Times New Roman" w:eastAsia="SimSun"/>
          <w:kern w:val="1"/>
          <w:sz w:val="24"/>
          <w:szCs w:val="24"/>
        </w:rPr>
      </w:r>
    </w:p>
    <w:p>
      <w:pPr>
        <w:ind w:left="2268"/>
        <w:spacing w:after="0" w:line="240" w:lineRule="auto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Times New Roman" w:hAnsi="Times New Roman" w:eastAsia="SimSun"/>
          <w:kern w:val="1"/>
          <w:sz w:val="24"/>
          <w:szCs w:val="24"/>
        </w:rPr>
      </w:pPr>
      <w:r>
        <w:rPr>
          <w:rFonts w:ascii="Times New Roman" w:hAnsi="Times New Roman" w:eastAsia="SimSun"/>
          <w:kern w:val="1"/>
          <w:sz w:val="24"/>
          <w:szCs w:val="24"/>
        </w:rPr>
        <w:t>O Crea-ES emitiu a Certidão de Acervo Técnico n.º 384/2020, em favor do profissional Engenheiro Civil Julio Luiz Calegari durante o período da pandemia do Coronavírus (Covid 19), em que os requerimentos estavam sendo realizado exclusivamente pelo envio de documentação por email.</w:t>
      </w:r>
    </w:p>
    <w:p>
      <w:pPr>
        <w:spacing w:after="0" w:line="240" w:lineRule="auto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Times New Roman" w:hAnsi="Times New Roman" w:eastAsia="SimSun"/>
          <w:kern w:val="1"/>
          <w:sz w:val="24"/>
          <w:szCs w:val="24"/>
        </w:rPr>
      </w:pPr>
      <w:r>
        <w:rPr>
          <w:rFonts w:ascii="Times New Roman" w:hAnsi="Times New Roman" w:eastAsia="SimSun"/>
          <w:kern w:val="1"/>
          <w:sz w:val="24"/>
          <w:szCs w:val="24"/>
        </w:rPr>
      </w:r>
    </w:p>
    <w:p>
      <w:pPr>
        <w:ind w:left="2268"/>
        <w:spacing w:after="0" w:line="240" w:lineRule="auto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Times New Roman" w:hAnsi="Times New Roman" w:eastAsia="SimSun"/>
          <w:kern w:val="1"/>
          <w:sz w:val="24"/>
          <w:szCs w:val="24"/>
        </w:rPr>
      </w:pPr>
      <w:r>
        <w:rPr>
          <w:rFonts w:ascii="Times New Roman" w:hAnsi="Times New Roman" w:eastAsia="SimSun"/>
          <w:kern w:val="1"/>
          <w:sz w:val="24"/>
          <w:szCs w:val="24"/>
        </w:rPr>
        <w:t>Assim sendo, sem atendimento presencial, os profissionais eram informados por email da emissão da CAT e orientados, caso o documento fosse apresentado em processos licitatórios, o órgão licitante verificasse junto ao Crea a autenticidade da CAT. ”</w:t>
      </w:r>
    </w:p>
    <w:p>
      <w:pPr>
        <w:spacing w:after="0" w:line="240" w:lineRule="auto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Times New Roman" w:hAnsi="Times New Roman" w:eastAsia="SimSun"/>
          <w:kern w:val="1"/>
          <w:sz w:val="24"/>
          <w:szCs w:val="24"/>
        </w:rPr>
      </w:pPr>
      <w:r>
        <w:rPr>
          <w:rFonts w:ascii="Times New Roman" w:hAnsi="Times New Roman" w:eastAsia="SimSun"/>
          <w:kern w:val="1"/>
          <w:sz w:val="24"/>
          <w:szCs w:val="24"/>
        </w:rPr>
      </w:r>
    </w:p>
    <w:p>
      <w:pPr>
        <w:ind w:left="2268"/>
        <w:spacing w:after="0" w:line="240" w:lineRule="auto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Times New Roman" w:hAnsi="Times New Roman" w:eastAsia="SimSun"/>
          <w:kern w:val="1"/>
          <w:sz w:val="24"/>
          <w:szCs w:val="24"/>
        </w:rPr>
      </w:pPr>
      <w:r>
        <w:rPr>
          <w:rFonts w:ascii="Times New Roman" w:hAnsi="Times New Roman" w:eastAsia="SimSun"/>
          <w:kern w:val="1"/>
          <w:sz w:val="24"/>
          <w:szCs w:val="24"/>
        </w:rPr>
        <w:t>Atenciosamente, Maria de Lourdes M. da Silva.”</w:t>
      </w:r>
    </w:p>
    <w:p>
      <w:pPr>
        <w:spacing w:after="0" w:line="240" w:lineRule="auto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Times New Roman" w:hAnsi="Times New Roman" w:eastAsia="SimSun"/>
          <w:kern w:val="1"/>
          <w:sz w:val="24"/>
          <w:szCs w:val="24"/>
        </w:rPr>
      </w:pPr>
      <w:r>
        <w:rPr>
          <w:rFonts w:ascii="Times New Roman" w:hAnsi="Times New Roman" w:eastAsia="SimSun"/>
          <w:kern w:val="1"/>
          <w:sz w:val="24"/>
          <w:szCs w:val="24"/>
        </w:rPr>
      </w:r>
    </w:p>
    <w:p>
      <w:pPr>
        <w:spacing w:after="0" w:line="240" w:lineRule="auto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Arial" w:hAnsi="Arial" w:eastAsia="SimSun" w:cs="Arial"/>
          <w:b/>
          <w:bCs/>
          <w:kern w:val="1"/>
          <w:sz w:val="36"/>
          <w:szCs w:val="36"/>
        </w:rPr>
      </w:pPr>
      <w:r>
        <w:rPr>
          <w:rFonts w:ascii="Times New Roman" w:hAnsi="Times New Roman" w:eastAsia="SimSun"/>
          <w:kern w:val="1"/>
          <w:sz w:val="24"/>
          <w:szCs w:val="24"/>
        </w:rPr>
        <w:t>Quanto ao questionamento sobre a falta de reconhecimento de firma da assinatura do contador na demonstração contábil, o mesmo foi apresentado a assinatura eletrônica com data válida no d</w:t>
      </w:r>
      <w:r>
        <w:rPr>
          <w:rFonts w:ascii="Times New Roman" w:hAnsi="Times New Roman" w:eastAsia="SimSun"/>
          <w:color w:val="000000"/>
          <w:kern w:val="1"/>
          <w:sz w:val="24"/>
          <w:szCs w:val="24"/>
        </w:rPr>
        <w:t>ia da licitação, a assinatura digital é regulamentada pela </w:t>
      </w:r>
      <w:hyperlink r:id="rId7" w:history="1">
        <w:r>
          <w:rPr>
            <w:rStyle w:val="char5"/>
            <w:rFonts w:ascii="Times New Roman" w:hAnsi="Times New Roman" w:eastAsia="SimSun"/>
            <w:color w:val="000000"/>
            <w:kern w:val="1"/>
            <w:sz w:val="24"/>
            <w:szCs w:val="24"/>
            <w:u w:color="auto" w:val="none"/>
          </w:rPr>
          <w:t>Medida Provisória 2.200-2/2001</w:t>
        </w:r>
      </w:hyperlink>
      <w:r>
        <w:rPr>
          <w:rFonts w:ascii="Times New Roman" w:hAnsi="Times New Roman" w:eastAsia="SimSun"/>
          <w:color w:val="000000"/>
          <w:kern w:val="1"/>
          <w:sz w:val="24"/>
          <w:szCs w:val="24"/>
        </w:rPr>
        <w:t xml:space="preserve">, </w:t>
      </w:r>
      <w:r>
        <w:rPr>
          <w:rFonts w:ascii="Times New Roman" w:hAnsi="Times New Roman" w:eastAsia="SimSun"/>
          <w:kern w:val="1"/>
          <w:sz w:val="24"/>
          <w:szCs w:val="24"/>
        </w:rPr>
        <w:t xml:space="preserve">a qual afirma que todo documento eletrônico assinado de forma digital e com certificado emitido pela ICP-Brasil tem validade </w:t>
      </w:r>
      <w:r>
        <w:rPr>
          <w:rFonts w:ascii="Times New Roman" w:hAnsi="Times New Roman" w:eastAsia="Times New Roman"/>
          <w:kern w:val="1"/>
          <w:sz w:val="24"/>
          <w:szCs w:val="24"/>
        </w:rPr>
        <w:t xml:space="preserve">jurídica. A Lei nº </w:t>
      </w:r>
      <w:r>
        <w:rPr>
          <w:rFonts w:ascii="Times New Roman" w:hAnsi="Times New Roman" w:eastAsia="Times New Roman"/>
          <w:kern w:val="1"/>
          <w:sz w:val="24"/>
          <w:szCs w:val="24"/>
        </w:rPr>
        <w:t>13.726 acaba com a autenticação de documentos e o reconhecimento de firma, tal exigência foi equivocada no presente edital, sendo assim passando a ser sanado todos os questionamentos, passando a ficar habilitada todas as empresas no presente certame licitatório.</w:t>
      </w:r>
      <w:r>
        <w:rPr>
          <w:rFonts w:ascii="Arial" w:hAnsi="Arial" w:eastAsia="SimSun" w:cs="Arial"/>
          <w:b/>
          <w:bCs/>
          <w:kern w:val="1"/>
          <w:sz w:val="36"/>
          <w:szCs w:val="36"/>
        </w:rPr>
        <w:t xml:space="preserve">  </w:t>
      </w:r>
      <w:r>
        <w:rPr>
          <w:rFonts w:ascii="Arial" w:hAnsi="Arial" w:eastAsia="SimSun" w:cs="Arial"/>
          <w:b/>
          <w:bCs/>
          <w:kern w:val="1"/>
          <w:sz w:val="36"/>
          <w:szCs w:val="36"/>
        </w:rPr>
      </w:r>
    </w:p>
    <w:p>
      <w:pPr>
        <w:spacing w:after="0" w:line="240" w:lineRule="auto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Times New Roman" w:hAnsi="Times New Roman" w:eastAsia="SimSun"/>
          <w:kern w:val="1"/>
          <w:sz w:val="24"/>
          <w:szCs w:val="24"/>
        </w:rPr>
      </w:pPr>
      <w:r>
        <w:rPr>
          <w:rFonts w:ascii="Times New Roman" w:hAnsi="Times New Roman" w:eastAsia="SimSun"/>
          <w:kern w:val="1"/>
          <w:sz w:val="24"/>
          <w:szCs w:val="24"/>
        </w:rPr>
        <w:t>Ficando marcado para o dia 14 de agosto as 08 horas da manhã a abertura das propostas de preços das empresas habilitadas.</w:t>
      </w:r>
    </w:p>
    <w:p>
      <w:pPr>
        <w:spacing w:after="0" w:line="240" w:lineRule="auto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Times New Roman" w:hAnsi="Times New Roman" w:eastAsia="SimSun"/>
          <w:kern w:val="1"/>
          <w:sz w:val="24"/>
          <w:szCs w:val="24"/>
        </w:rPr>
      </w:pPr>
      <w:r>
        <w:rPr>
          <w:rFonts w:ascii="Times New Roman" w:hAnsi="Times New Roman" w:eastAsia="SimSun"/>
          <w:kern w:val="1"/>
          <w:sz w:val="24"/>
          <w:szCs w:val="24"/>
        </w:rPr>
      </w:r>
    </w:p>
    <w:p>
      <w:pPr>
        <w:spacing w:after="0" w:line="240" w:lineRule="auto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Times New Roman" w:hAnsi="Times New Roman" w:eastAsia="SimSun"/>
          <w:kern w:val="1"/>
          <w:sz w:val="24"/>
          <w:szCs w:val="24"/>
        </w:rPr>
      </w:pPr>
      <w:r>
        <w:rPr>
          <w:rFonts w:ascii="Times New Roman" w:hAnsi="Times New Roman" w:eastAsia="SimSun"/>
          <w:kern w:val="1"/>
          <w:sz w:val="24"/>
          <w:szCs w:val="24"/>
        </w:rPr>
      </w:r>
    </w:p>
    <w:p>
      <w:pPr>
        <w:spacing w:after="0" w:line="240" w:lineRule="auto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Times New Roman" w:hAnsi="Times New Roman" w:eastAsia="SimSun"/>
          <w:kern w:val="1"/>
          <w:sz w:val="24"/>
          <w:szCs w:val="24"/>
        </w:rPr>
      </w:pPr>
      <w:r>
        <w:rPr>
          <w:rFonts w:ascii="Times New Roman" w:hAnsi="Times New Roman" w:eastAsia="SimSun"/>
          <w:kern w:val="1"/>
          <w:sz w:val="24"/>
          <w:szCs w:val="24"/>
        </w:rPr>
        <w:t>São Domingos do Norte, 10 de agosto de 2020.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Reinaldo Basileu Guareschi (Presidente)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Jozimar Fachetti (Membro)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Cleidmar Kinack (Membro)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Rita de Cassia dos Santos Pestana (Membro)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Osmar Piantavinha (Membro)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Diego Bohry (Membro)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Maria Aparecida Alves (Membro)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Kerley Cristiery Taquetti (Membro)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spacing w:after="0" w:line="240" w:lineRule="auto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Times New Roman" w:hAnsi="Times New Roman"/>
          <w:color w:val="000000"/>
          <w:kern w:val="1"/>
          <w:sz w:val="24"/>
          <w:szCs w:val="24"/>
        </w:rPr>
      </w:pPr>
      <w:r>
        <w:rPr>
          <w:rFonts w:ascii="Times New Roman" w:hAnsi="Times New Roman"/>
          <w:color w:val="000000"/>
          <w:kern w:val="1"/>
          <w:sz w:val="24"/>
          <w:szCs w:val="24"/>
        </w:rPr>
      </w:r>
    </w:p>
    <w:p>
      <w:pPr>
        <w:spacing w:after="0" w:line="240" w:lineRule="auto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Times New Roman" w:hAnsi="Times New Roman"/>
          <w:color w:val="000000"/>
          <w:kern w:val="1"/>
          <w:sz w:val="24"/>
          <w:szCs w:val="24"/>
        </w:rPr>
      </w:pPr>
      <w:r>
        <w:rPr>
          <w:rFonts w:ascii="Times New Roman" w:hAnsi="Times New Roman"/>
          <w:color w:val="000000"/>
          <w:kern w:val="1"/>
          <w:sz w:val="24"/>
          <w:szCs w:val="24"/>
        </w:rPr>
      </w:r>
    </w:p>
    <w:p>
      <w:pPr>
        <w:spacing w:after="0" w:line="240" w:lineRule="auto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Times New Roman" w:hAnsi="Times New Roman"/>
          <w:color w:val="000000"/>
          <w:kern w:val="1"/>
          <w:sz w:val="24"/>
          <w:szCs w:val="24"/>
        </w:rPr>
      </w:pPr>
      <w:r>
        <w:rPr>
          <w:rFonts w:ascii="Times New Roman" w:hAnsi="Times New Roman"/>
          <w:color w:val="000000"/>
          <w:kern w:val="1"/>
          <w:sz w:val="24"/>
          <w:szCs w:val="24"/>
        </w:rPr>
      </w:r>
    </w:p>
    <w:p>
      <w:pPr>
        <w:spacing w:after="0" w:line="240" w:lineRule="auto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Times New Roman" w:hAnsi="Times New Roman"/>
          <w:color w:val="000000"/>
          <w:kern w:val="1"/>
          <w:sz w:val="24"/>
          <w:szCs w:val="24"/>
        </w:rPr>
      </w:pPr>
      <w:r>
        <w:rPr>
          <w:rFonts w:ascii="Times New Roman" w:hAnsi="Times New Roman"/>
          <w:color w:val="000000"/>
          <w:kern w:val="1"/>
          <w:sz w:val="24"/>
          <w:szCs w:val="24"/>
        </w:rPr>
      </w:r>
    </w:p>
    <w:sectPr>
      <w:footnotePr>
        <w:pos w:val="pageBottom"/>
        <w:numFmt w:val="decimal"/>
        <w:numStart w:val="1"/>
        <w:numRestart w:val="continuous"/>
      </w:footnotePr>
      <w:endnotePr>
        <w:pos w:val="docEnd"/>
        <w:numFmt w:val="decimal"/>
        <w:numStart w:val="1"/>
        <w:numRestart w:val="continuous"/>
      </w:endnotePr>
      <w:headerReference w:type="default" r:id="rId8"/>
      <w:footerReference w:type="default" r:id="rId9"/>
      <w:type w:val="nextPage"/>
      <w:pgSz w:h="16838" w:w="11906"/>
      <w:pgMar w:left="1701" w:top="1417" w:right="1701" w:bottom="1417" w:header="708" w:footer="0"/>
      <w:paperSrc w:first="7" w:other="7" a="0" b="0"/>
      <w:pgNumType w:fmt="decimal"/>
      <w:tmGutter w:val="3"/>
      <w:mirrorMargins w:val="0"/>
      <w:tmSection w:h="-2">
        <w:tmHeader w:id="0" w:h="0" edge="708" text="0">
          <w:shd w:val="none"/>
        </w:tmHeader>
        <w:tmFooter w:id="0" w:h="0" edge="0" text="0">
          <w:shd w:val="none"/>
        </w:tmFooter>
      </w:tmSection>
      <w:guidesAndGridMasterPages Id="0" numberOfVerticalGuides="0" numberOfHorizontalGuides="0"/>
      <w:guidesAndGridMasterPages Id="1" numberOfVerticalGuides="0" numberOfHorizontalGuides="0"/>
      <w:guidesAndGridMasterPages Id="2" numberOfVerticalGuides="0" numberOfHorizontalGuides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default"/>
  </w:font>
  <w:font w:name="SimSun">
    <w:panose1 w:val="02010600030101010101"/>
    <w:charset w:val="00"/>
    <w:family w:val="auto"/>
    <w:pitch w:val="default"/>
  </w:font>
  <w:font w:name="Arial">
    <w:panose1 w:val="020B0604020202020204"/>
    <w:charset w:val="00"/>
    <w:family w:val="swiss"/>
    <w:pitch w:val="default"/>
  </w:font>
  <w:font w:name="Calibri">
    <w:panose1 w:val="020F0502020204030204"/>
    <w:charset w:val="00"/>
    <w:family w:val="swiss"/>
    <w:pitch w:val="default"/>
  </w:font>
  <w:font w:name="Tahoma">
    <w:panose1 w:val="020B0604030504040204"/>
    <w:charset w:val="00"/>
    <w:family w:val="swiss"/>
    <w:pitch w:val="default"/>
  </w:font>
  <w:font w:name="Cambria">
    <w:panose1 w:val="02040503050406030204"/>
    <w:charset w:val="00"/>
    <w:family w:val="roman"/>
    <w:pitch w:val="default"/>
  </w:font>
  <w:font w:name="Verdana">
    <w:panose1 w:val="020B0604030504040204"/>
    <w:charset w:val="00"/>
    <w:family w:val="swiss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para4"/>
    </w:pPr>
    <w:r/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para1"/>
      <w:spacing w:before="0" w:after="0"/>
      <w:jc w:val="center"/>
      <w:tabs defTabSz="708">
        <w:tab w:val="left" w:pos="1245" w:leader="none"/>
        <w:tab w:val="center" w:pos="4712" w:leader="none"/>
      </w:tabs>
      <w:rPr>
        <w:rFonts w:ascii="Times New Roman" w:hAnsi="Times New Roman"/>
        <w:b w:val="0"/>
      </w:rPr>
    </w:pPr>
    <w:r>
      <w:rPr>
        <w:noProof/>
      </w:rPr>
      <w:drawing>
        <wp:anchor distT="0" distB="0" distL="114300" distR="114300" simplePos="0" relativeHeight="251658241" behindDoc="0" locked="0" layoutInCell="0" hidden="0" allowOverlap="1">
          <wp:simplePos x="0" y="0"/>
          <wp:positionH relativeFrom="column">
            <wp:posOffset>2131060</wp:posOffset>
          </wp:positionH>
          <wp:positionV relativeFrom="paragraph">
            <wp:posOffset>-401320</wp:posOffset>
          </wp:positionV>
          <wp:extent cx="746760" cy="601345"/>
          <wp:effectExtent l="0" t="0" r="0" b="0"/>
          <wp:wrapNone/>
          <wp:docPr id="1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 6"/>
                  <pic:cNvPicPr>
                    <a:picLocks noChangeAspect="1"/>
                    <a:extLst>
                      <a:ext uri="smNativeData">
                        <sm:smNativeData xmlns:sm="smNativeData" val="SMDATA_14_ZTwxXxMAAAAlAAAAEQAAAC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DAAAABAAAAAAAAAAAAAAAAAAAAAAAAAAHgAAAGgAAAAAAAAAAAAAAAAAAAAAAAAAAAAAABAnAAAQJwAAAAAAAAAAAAAAAAAAAAAAAAAAAAAAAAAAAAAAAAAAAAAUAAAAAAAAAMDA/wAAAAAAZAAAADIAAAAAAAAAZAAAAAAAAAB/f38ACgAAACEAAABAAAAAPAAAAAAAAAAQoAAAAAAAAAAAAAAAAAAAAgAAABwNAAAAAAAAAgAAAIj9//+YBAAAswMAAAAAAADBEwAATAAAACgAAAAIAAAAAQAAAAEAAAA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46760" cy="601345"/>
                  </a:xfrm>
                  <a:prstGeom prst="rect">
                    <a:avLst/>
                  </a:prstGeom>
                  <a:solidFill>
                    <a:srgbClr val="FFFFFF"/>
                  </a:solidFill>
                  <a:ln w="12700">
                    <a:noFill/>
                  </a:ln>
                </pic:spPr>
              </pic:pic>
            </a:graphicData>
          </a:graphic>
        </wp:anchor>
      </w:drawing>
    </w:r>
    <w:r>
      <w:rPr>
        <w:rFonts w:ascii="Times New Roman" w:hAnsi="Times New Roman"/>
        <w:b w:val="0"/>
      </w:rPr>
    </w:r>
  </w:p>
  <w:p>
    <w:pPr>
      <w:pStyle w:val="para1"/>
      <w:spacing w:before="0" w:after="0"/>
      <w:jc w:val="center"/>
      <w:tabs defTabSz="708">
        <w:tab w:val="left" w:pos="1245" w:leader="none"/>
        <w:tab w:val="center" w:pos="4712" w:leader="none"/>
      </w:tabs>
      <w:rPr>
        <w:rFonts w:ascii="Times New Roman" w:hAnsi="Times New Roman" w:cs="Times New Roman"/>
        <w:sz w:val="22"/>
        <w:szCs w:val="22"/>
      </w:rPr>
    </w:pPr>
    <w:r>
      <w:rPr>
        <w:rFonts w:ascii="Times New Roman" w:hAnsi="Times New Roman" w:cs="Times New Roman"/>
        <w:sz w:val="22"/>
        <w:szCs w:val="22"/>
      </w:rPr>
      <w:t>Prefeitura Municipal de São Domingos do Norte</w:t>
    </w:r>
  </w:p>
  <w:p>
    <w:pPr>
      <w:spacing/>
      <w:jc w:val="center"/>
    </w:pPr>
    <w:r>
      <w:rPr>
        <w:rFonts w:ascii="Times New Roman" w:hAnsi="Times New Roman"/>
        <w:color w:val="000000"/>
      </w:rPr>
      <w:t xml:space="preserve">Rodovia Gether Lopes de Farias, s/nº - Bairro Emílio Calegari - São Domingos do Norte/ES CEP 29745-000 Telefax: (027) 3742-0200 - </w:t>
    </w:r>
    <w:r>
      <w:rPr>
        <w:rFonts w:ascii="Times New Roman" w:hAnsi="Times New Roman"/>
      </w:rPr>
      <w:t>CNPJ 36.350.312/0001-72</w:t>
    </w:r>
    <w:r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view w:val="print"/>
  <w:defaultTabStop w:val="708"/>
  <w:autoHyphenation w:val="0"/>
  <w:doNotShadeFormData w:val="0"/>
  <w:captions>
    <w:caption w:name="Tabela" w:pos="below" w:numFmt="decimal"/>
    <w:caption w:name="Figura" w:pos="below" w:numFmt="decimal"/>
    <w:caption w:name="Imagem" w:pos="below" w:numFmt="decimal"/>
  </w:captions>
  <w:drawingGridHorizontalSpacing w:val="283"/>
  <w:drawingGridVerticalSpacing w:val="283"/>
  <w:revisionView w:comments="1" w:markup="1" w:insDel="1" w:formatting="1"/>
  <w:footnotePr>
    <w:pos w:val="pageBottom"/>
    <w:numFmt w:val="decimal"/>
    <w:numStart w:val="1"/>
    <w:numRestart w:val="continuous"/>
  </w:footnotePr>
  <w:endnotePr>
    <w:pos w:val="docEnd"/>
    <w:numFmt w:val="decimal"/>
    <w:numStart w:val="1"/>
    <w:numRestart w:val="continuous"/>
  </w:endnotePr>
  <w:compat/>
  <w:shapeDefaults>
    <o:shapedefaults v:ext="edit" spidmax="3073"/>
    <o:shapelayout v:ext="edit">
      <o:rules v:ext="edit"/>
    </o:shapelayout>
  </w:shapeDefaults>
  <w:tmPrefOne w:val="17"/>
  <w:tmPrefTwo w:val="1"/>
  <w:tmFmtPref w:val="189283435"/>
  <w:tmCommentsPr>
    <w:tmCommentsPlace w:val="0"/>
    <w:tmCommentsWidth w:val="3119"/>
    <w:tmCommentsColor w:val="-1"/>
  </w:tmCommentsPr>
  <w:tmReviewPr>
    <w:tmReviewEnabled w:val="0"/>
    <w:tmReviewShow w:val="1"/>
    <w:tmReviewPrint w:val="0"/>
    <w:tmRevisionNum w:val="39"/>
    <w:tmReviewMarkIns w:val="4"/>
    <w:tmReviewColorIns w:val="-1"/>
    <w:tmReviewMarkDel w:val="6"/>
    <w:tmReviewColorDel w:val="-1"/>
    <w:tmReviewMarkFmt w:val="1"/>
    <w:tmReviewColorFmt w:val="-1"/>
    <w:tmReviewMarkLn w:val="1"/>
    <w:tmReviewColorLn w:val="0"/>
    <w:tmReviewToolTip w:val="1"/>
  </w:tmReviewPr>
  <w:tmLastPos>
    <w:tmLastPosPage w:val="1"/>
    <w:tmLastPosSelect w:val="0"/>
    <w:tmLastPosFrameIdx w:val="0"/>
    <w:tmLastPosCaret>
      <w:tmLastPosPgfIdx w:val="34"/>
      <w:tmLastPosIdx w:val="0"/>
    </w:tmLastPosCaret>
    <w:tmLastPosAnchor>
      <w:tmLastPosPgfIdx w:val="0"/>
      <w:tmLastPosIdx w:val="0"/>
    </w:tmLastPosAnchor>
    <w:tmLastPosTblRect w:left="0" w:top="0" w:right="0" w:bottom="0"/>
  </w:tmLastPos>
  <w:tmAppRevision w:date="1597062245" w:val="976" w:fileVer="342" w:fileVerOS="4"/>
  <w:guidesAndGrid showGuides="1" lockGuides="0" snapToGuides="1" snapToPageMargins="0" tolerance="8" gridDistanceHorizontal="283" gridDistanceVertical="283" showGrid="0" snapToGrid="0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eastAsia="Calibri" w:cs="Times New Roman"/>
        <w:sz w:val="22"/>
        <w:szCs w:val="22"/>
        <w:lang w:val="pt-br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</w:style>
  <w:style w:type="paragraph" w:styleId="para1">
    <w:name w:val="heading 3"/>
    <w:qFormat/>
    <w:basedOn w:val="para0"/>
    <w:next w:val="para0"/>
    <w:pPr>
      <w:spacing w:before="240" w:after="60" w:line="240" w:lineRule="auto"/>
      <w:keepNext/>
      <w:outlineLvl w:val="2"/>
    </w:pPr>
    <w:rPr>
      <w:rFonts w:ascii="Arial" w:hAnsi="Arial" w:eastAsia="Times New Roman" w:cs="Arial"/>
      <w:b/>
      <w:bCs/>
      <w:sz w:val="26"/>
      <w:szCs w:val="26"/>
    </w:rPr>
  </w:style>
  <w:style w:type="paragraph" w:styleId="para2">
    <w:name w:val="Balloon Text"/>
    <w:qFormat/>
    <w:basedOn w:val="para0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para3">
    <w:name w:val="Header"/>
    <w:qFormat/>
    <w:basedOn w:val="para0"/>
    <w:pPr>
      <w:spacing w:after="0" w:line="240" w:lineRule="auto"/>
      <w:tabs defTabSz="708">
        <w:tab w:val="center" w:pos="4252" w:leader="none"/>
        <w:tab w:val="right" w:pos="8504" w:leader="none"/>
      </w:tabs>
    </w:pPr>
  </w:style>
  <w:style w:type="paragraph" w:styleId="para4">
    <w:name w:val="Footer"/>
    <w:qFormat/>
    <w:basedOn w:val="para0"/>
    <w:pPr>
      <w:spacing w:after="0" w:line="240" w:lineRule="auto"/>
      <w:tabs defTabSz="708">
        <w:tab w:val="center" w:pos="4252" w:leader="none"/>
        <w:tab w:val="right" w:pos="8504" w:leader="none"/>
      </w:tabs>
    </w:pPr>
  </w:style>
  <w:style w:type="paragraph" w:styleId="para5">
    <w:name w:val="heading 1"/>
    <w:qFormat/>
    <w:basedOn w:val="para0"/>
    <w:next w:val="para0"/>
    <w:pPr>
      <w:spacing w:before="240" w:after="60" w:line="240" w:lineRule="auto"/>
      <w:keepNext/>
      <w:outlineLvl w:val="0"/>
      <w:keepLines/>
      <w:widowControl w:val="0"/>
    </w:pPr>
    <w:rPr>
      <w:rFonts w:ascii="Arial" w:hAnsi="Arial" w:eastAsia="SimSun" w:cs="Arial"/>
      <w:b/>
      <w:bCs/>
      <w:kern w:val="1"/>
      <w:sz w:val="36"/>
      <w:szCs w:val="36"/>
    </w:rPr>
    <w:key w:val="1073"/>
  </w:style>
  <w:style w:type="character" w:styleId="char0" w:default="1">
    <w:name w:val="Default Paragraph Font"/>
  </w:style>
  <w:style w:type="character" w:styleId="char1" w:customStyle="1">
    <w:name w:val="Título 3 Char"/>
    <w:basedOn w:val="char0"/>
    <w:rPr>
      <w:rFonts w:ascii="Arial" w:hAnsi="Arial" w:eastAsia="Times New Roman" w:cs="Arial"/>
      <w:b/>
      <w:bCs/>
      <w:sz w:val="26"/>
      <w:szCs w:val="26"/>
    </w:rPr>
  </w:style>
  <w:style w:type="character" w:styleId="char2" w:customStyle="1">
    <w:name w:val="Texto de balão Char"/>
    <w:basedOn w:val="char0"/>
    <w:rPr>
      <w:rFonts w:ascii="Tahoma" w:hAnsi="Tahoma" w:cs="Tahoma"/>
      <w:sz w:val="16"/>
      <w:szCs w:val="16"/>
    </w:rPr>
  </w:style>
  <w:style w:type="character" w:styleId="char3" w:customStyle="1">
    <w:name w:val="Cabeçalho Char"/>
    <w:basedOn w:val="char0"/>
  </w:style>
  <w:style w:type="character" w:styleId="char4" w:customStyle="1">
    <w:name w:val="Rodapé Char"/>
    <w:basedOn w:val="char0"/>
  </w:style>
  <w:style w:type="character" w:styleId="char5">
    <w:name w:val="Hyperlink"/>
    <w:rPr>
      <w:color w:val="0000ff"/>
      <w:u w:color="auto" w:val="single"/>
    </w:rPr>
  </w:style>
  <w:style w:type="table" w:default="1" w:styleId="TableNormal">
    <w:name w:val="Tabela normal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NormalTable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hAnsi="Calibri" w:eastAsia="Calibri" w:cs="Times New Roman"/>
        <w:sz w:val="22"/>
        <w:szCs w:val="22"/>
        <w:lang w:val="pt-br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</w:style>
  <w:style w:type="paragraph" w:styleId="para1">
    <w:name w:val="heading 3"/>
    <w:qFormat/>
    <w:basedOn w:val="para0"/>
    <w:next w:val="para0"/>
    <w:pPr>
      <w:spacing w:before="240" w:after="60" w:line="240" w:lineRule="auto"/>
      <w:keepNext/>
      <w:outlineLvl w:val="2"/>
    </w:pPr>
    <w:rPr>
      <w:rFonts w:ascii="Arial" w:hAnsi="Arial" w:eastAsia="Times New Roman" w:cs="Arial"/>
      <w:b/>
      <w:bCs/>
      <w:sz w:val="26"/>
      <w:szCs w:val="26"/>
    </w:rPr>
  </w:style>
  <w:style w:type="paragraph" w:styleId="para2">
    <w:name w:val="Balloon Text"/>
    <w:qFormat/>
    <w:basedOn w:val="para0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para3">
    <w:name w:val="Header"/>
    <w:qFormat/>
    <w:basedOn w:val="para0"/>
    <w:pPr>
      <w:spacing w:after="0" w:line="240" w:lineRule="auto"/>
      <w:tabs defTabSz="708">
        <w:tab w:val="center" w:pos="4252" w:leader="none"/>
        <w:tab w:val="right" w:pos="8504" w:leader="none"/>
      </w:tabs>
    </w:pPr>
  </w:style>
  <w:style w:type="paragraph" w:styleId="para4">
    <w:name w:val="Footer"/>
    <w:qFormat/>
    <w:basedOn w:val="para0"/>
    <w:pPr>
      <w:spacing w:after="0" w:line="240" w:lineRule="auto"/>
      <w:tabs defTabSz="708">
        <w:tab w:val="center" w:pos="4252" w:leader="none"/>
        <w:tab w:val="right" w:pos="8504" w:leader="none"/>
      </w:tabs>
    </w:pPr>
  </w:style>
  <w:style w:type="paragraph" w:styleId="para5">
    <w:name w:val="heading 1"/>
    <w:qFormat/>
    <w:basedOn w:val="para0"/>
    <w:next w:val="para0"/>
    <w:pPr>
      <w:spacing w:before="240" w:after="60" w:line="240" w:lineRule="auto"/>
      <w:keepNext/>
      <w:outlineLvl w:val="0"/>
      <w:keepLines/>
      <w:widowControl w:val="0"/>
    </w:pPr>
    <w:rPr>
      <w:rFonts w:ascii="Arial" w:hAnsi="Arial" w:eastAsia="SimSun" w:cs="Arial"/>
      <w:b/>
      <w:bCs/>
      <w:kern w:val="1"/>
      <w:sz w:val="36"/>
      <w:szCs w:val="36"/>
    </w:rPr>
    <w:key w:val="1073"/>
  </w:style>
  <w:style w:type="character" w:styleId="char0" w:default="1">
    <w:name w:val="Default Paragraph Font"/>
  </w:style>
  <w:style w:type="character" w:styleId="char1" w:customStyle="1">
    <w:name w:val="Título 3 Char"/>
    <w:basedOn w:val="char0"/>
    <w:rPr>
      <w:rFonts w:ascii="Arial" w:hAnsi="Arial" w:eastAsia="Times New Roman" w:cs="Arial"/>
      <w:b/>
      <w:bCs/>
      <w:sz w:val="26"/>
      <w:szCs w:val="26"/>
    </w:rPr>
  </w:style>
  <w:style w:type="character" w:styleId="char2" w:customStyle="1">
    <w:name w:val="Texto de balão Char"/>
    <w:basedOn w:val="char0"/>
    <w:rPr>
      <w:rFonts w:ascii="Tahoma" w:hAnsi="Tahoma" w:cs="Tahoma"/>
      <w:sz w:val="16"/>
      <w:szCs w:val="16"/>
    </w:rPr>
  </w:style>
  <w:style w:type="character" w:styleId="char3" w:customStyle="1">
    <w:name w:val="Cabeçalho Char"/>
    <w:basedOn w:val="char0"/>
  </w:style>
  <w:style w:type="character" w:styleId="char4" w:customStyle="1">
    <w:name w:val="Rodapé Char"/>
    <w:basedOn w:val="char0"/>
  </w:style>
  <w:style w:type="character" w:styleId="char5">
    <w:name w:val="Hyperlink"/>
    <w:rPr>
      <w:color w:val="0000ff"/>
      <w:u w:color="auto" w:val="single"/>
    </w:rPr>
  </w:style>
  <w:style w:type="table" w:default="1" w:styleId="TableNormal">
    <w:name w:val="Tabela normal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NormalTable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 ?>
<Relationships xmlns="http://schemas.openxmlformats.org/package/2006/relationships"><Relationship Id="rId1" Type="http://schemas.openxmlformats.org/officeDocument/2006/relationships/webSettings" Target="webSettings.xml"/><Relationship Id="rId2" Type="http://schemas.openxmlformats.org/officeDocument/2006/relationships/settings" Target="settings.xml"/><Relationship Id="rId3" Type="http://schemas.openxmlformats.org/officeDocument/2006/relationships/theme" Target="theme/theme1.xml"/><Relationship Id="rId4" Type="http://schemas.openxmlformats.org/officeDocument/2006/relationships/fontTable" Target="fontTable.xml"/><Relationship Id="rId5" Type="http://schemas.openxmlformats.org/officeDocument/2006/relationships/styles" Target="styles.xml"/><Relationship Id="rId6" Type="http://schemas.microsoft.com/office/2007/relationships/stylesWithEffects" Target="stylesWithEffects.xml"/><Relationship Id="rId7" Type="http://schemas.openxmlformats.org/officeDocument/2006/relationships/hyperlink" Target="http://www.planalto.gov.br/ccivil_03/MPV/Antigas_2001/2200-2.htm" TargetMode="External"/><Relationship Id="rId8" Type="http://schemas.openxmlformats.org/officeDocument/2006/relationships/header" Target="header1.xml"/><Relationship Id="rId9" Type="http://schemas.openxmlformats.org/officeDocument/2006/relationships/footer" Target="footer1.xml"/></Relationships>
</file>

<file path=word/_rels/header1.xml.rels><?xml version="1.0" encoding="UTF-8" standalone="yes" ?>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SimSun"/>
        <a:cs typeface="Arial"/>
      </a:majorFont>
      <a:minorFont>
        <a:latin typeface="Calibri"/>
        <a:ea typeface="Calibri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TextMaker free rev.976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PMSDN</dc:creator>
  <cp:keywords/>
  <dc:description/>
  <cp:lastModifiedBy/>
  <cp:revision>39</cp:revision>
  <cp:lastPrinted>2020-08-10T12:24:13Z</cp:lastPrinted>
  <dcterms:created xsi:type="dcterms:W3CDTF">2018-02-26T11:48:00Z</dcterms:created>
  <dcterms:modified xsi:type="dcterms:W3CDTF">2020-08-10T12:24:05Z</dcterms:modified>
</cp:coreProperties>
</file>