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Override PartName="/word/header1.xml" ContentType="application/vnd.openxmlformats-officedocument.wordprocessingml.header+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0" w:line="240" w:lineRule="auto"/>
        <w:jc w:val="center"/>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rPr>
      </w:pPr>
      <w:r>
        <w:rPr>
          <w:rFonts w:ascii="Arial" w:hAnsi="Arial" w:eastAsia="Arial" w:cs="Arial"/>
          <w:b/>
          <w:bCs/>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rPr>
      </w:pPr>
      <w:r>
        <w:rPr>
          <w:rFonts w:ascii="Arial" w:hAnsi="Arial" w:eastAsia="Arial" w:cs="Arial"/>
          <w:b/>
          <w:bCs/>
          <w:color w:val="000000"/>
          <w:kern w:val="1"/>
          <w:sz w:val="24"/>
          <w:szCs w:val="24"/>
        </w:rPr>
        <w:t>Ata de Realização do Pregão Presencial para Registro de Preços Nº 18/2020</w:t>
      </w:r>
    </w:p>
    <w:p>
      <w:pPr>
        <w:spacing w:after="0" w:line="240" w:lineRule="auto"/>
        <w:jc w:val="center"/>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rPr>
      </w:pPr>
      <w:r>
        <w:rPr>
          <w:rFonts w:ascii="Arial" w:hAnsi="Arial" w:eastAsia="Arial" w:cs="Arial"/>
          <w:b/>
          <w:bCs/>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 xml:space="preserve">Aos vinte e oito dias do mês de agosto do ano de dois mil e vinte, ás 09:00 horas, na sala de sessões públicas da Prefeitura Municipal, situada na Rodovia Gether Lopes de Farias - Bairro Emilio Calegari, cidade de São Domingos do Norte/ES, CEP: 29745-000 nos termos do nos termos do art. 15 da Lei Federal 8.666, de 21 de junho de 1993, LC 123/2006, Lei n° 10.520/2002, Decreto Federal 3.555/00, Decreto Federal 9.488/2018 e Decreto Municipal 1.663 de 11 de junho de 2019 com as alterações nela inseridas e demais normas legais aplicáveis, em face da classificação das propostas apresentadas no </w:t>
      </w:r>
      <w:r>
        <w:rPr>
          <w:rFonts w:ascii="Arial" w:hAnsi="Arial" w:eastAsia="Arial" w:cs="Arial"/>
          <w:b/>
          <w:bCs/>
          <w:color w:val="000000"/>
          <w:kern w:val="1"/>
          <w:sz w:val="24"/>
          <w:szCs w:val="24"/>
        </w:rPr>
        <w:t>Processo nº 2256/2020,</w:t>
      </w:r>
      <w:r>
        <w:rPr>
          <w:rFonts w:ascii="Arial" w:hAnsi="Arial" w:eastAsia="Arial" w:cs="Arial"/>
          <w:color w:val="000000"/>
          <w:kern w:val="1"/>
          <w:sz w:val="24"/>
          <w:szCs w:val="24"/>
        </w:rPr>
        <w:t xml:space="preserve"> </w:t>
      </w:r>
      <w:r>
        <w:rPr>
          <w:rFonts w:ascii="Arial" w:hAnsi="Arial" w:eastAsia="Arial" w:cs="Arial"/>
          <w:b/>
          <w:bCs/>
          <w:color w:val="000000"/>
          <w:kern w:val="1"/>
          <w:sz w:val="24"/>
          <w:szCs w:val="24"/>
        </w:rPr>
        <w:t>realizado na modalidade Pregão Presencial para Registro de Preços n° 18/2020</w:t>
      </w:r>
      <w:r>
        <w:rPr>
          <w:rFonts w:ascii="Arial" w:hAnsi="Arial" w:eastAsia="Arial" w:cs="Arial"/>
          <w:color w:val="000000"/>
          <w:kern w:val="1"/>
          <w:sz w:val="24"/>
          <w:szCs w:val="24"/>
        </w:rPr>
        <w:t>, por deliberação do pregoeiro, foram registrados os preços para eventual e futura</w:t>
      </w:r>
      <w:r>
        <w:rPr>
          <w:rFonts w:ascii="Arial" w:hAnsi="Arial" w:eastAsia="Arial" w:cs="Arial"/>
          <w:kern w:val="1"/>
          <w:sz w:val="24"/>
          <w:szCs w:val="24"/>
        </w:rPr>
        <w:t xml:space="preserve"> </w:t>
      </w:r>
      <w:r>
        <w:rPr>
          <w:rFonts w:ascii="Arial" w:hAnsi="Arial" w:eastAsia="Arial" w:cs="Arial"/>
          <w:sz w:val="24"/>
          <w:szCs w:val="24"/>
        </w:rPr>
        <w:t>Contratação de Empresa especializada em Execução de serviços de forma continuada de Gestão completa do Sistema de Iluminação Pública (SIP) do Município de São Domingos do Norte, que inclui a implantação, a operação, a manutenção, o assessoramento técnico, a elaboração de cadastro georeferenciado do sistema de iluminação pública, a elaboração de materiais e equipamentos, no Município de São Domingos do Norte (PMSDN), tudo conforme anexo I e Termo de Referência</w:t>
      </w:r>
      <w:r>
        <w:rPr>
          <w:rFonts w:ascii="Arial" w:hAnsi="Arial" w:eastAsia="Arial" w:cs="Arial"/>
          <w:color w:val="000000"/>
          <w:kern w:val="1"/>
          <w:sz w:val="24"/>
          <w:szCs w:val="24"/>
        </w:rPr>
        <w:t>, cujos direitos, deveres e obrigações a serem cumpridos pelos participantes são os constantes do edital e da minuta contratual do presente certame, ficando desde então obrigados sob pena de aplicação das penalidades previstas no edital, observadas as demais condições enunciadas edital. Ficou, portanto, em decorrência da classificação no certame, registrados os preços dos materiais a seguir tipificados:</w:t>
      </w:r>
      <w:r>
        <w:rPr>
          <w:rFonts w:ascii="Arial" w:hAnsi="Arial" w:eastAsia="Arial" w:cs="Arial"/>
          <w:color w:val="000000"/>
          <w:kern w:val="1"/>
          <w:sz w:val="24"/>
          <w:szCs w:val="24"/>
        </w:rPr>
      </w:r>
    </w:p>
    <w:p>
      <w:pPr>
        <w:spacing w:after="0" w:line="240" w:lineRule="auto"/>
        <w:jc w:val="both"/>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kern w:val="1"/>
          <w:sz w:val="24"/>
          <w:szCs w:val="24"/>
        </w:rPr>
      </w:pPr>
      <w:r>
        <w:rPr>
          <w:rFonts w:ascii="Arial" w:hAnsi="Arial" w:eastAsia="Arial" w:cs="Arial"/>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Ilumiterra Construções e Montagens Ltda. lance R$ 133.490,00, Tecluz Comercio e Serviços Elétricos LTDA lance R$ 133.000,00.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Ilumiterra Construções e Montagens Ltda. lance R$ 132.090,00, Tecluz Comercio e Serviços Elétricos LTDA lance R$ 131.000,00.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3</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Ilumiterra Construções e Montagens Ltda. lance R$ 129.890,00, Tecluz Comercio e Serviços Elétricos LTDA lance R$ 129.000,00.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4</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Ilumiterra Construções e Montagens Ltda. lance R$ 128.900,00, Tecluz Comercio e Serviços Elétricos LTDA lance R$ 128.000,00.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5</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Ilumiterra Construções e Montagens Ltda. lance R$ 127.000,00, Tecluz Comercio e Serviços Elétricos LTDA lance R$ 126.000,00.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6</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Ilumiterra Construções e Montagens Ltda. lance R$ 125.000,00, Tecluz Comercio e Serviços Elétricos LTDA lance R$ 124.000,00.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7</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Ilumiterra Construções e Montagens Ltda. lance R$ 123.000,00, Tecluz Comercio e Serviços Elétricos LTDA lance R$ 122.000,00.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8</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Ilumiterra Construções e Montagens Ltda. lance R$ 121.000,00, Tecluz Comercio e Serviços Elétricos LTDA lance R$ 120.000,00.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9</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Ilumiterra Construções e Montagens Ltda. lance R$ 119.000,00, Tecluz Comercio e Serviços Elétricos LTDA lance R$ 118.000,00.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10</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Ilumiterra Construções e Montagens Ltda. lance R$ 116.000,00, Tecluz Comercio e Serviços Elétricos LTDA lance R$ 115.000,00.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11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Ilumiterra Construções e Montagens Ltda. lance R$ 114.000,00, Tecluz Comercio e Serviços Elétricos LTDA lance R$ 113.000,00.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12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Ilumiterra Construções e Montagens Ltda. lance R$ 112.000,00, Tecluz Comercio e Serviços Elétricos LTDA lance R$ 111.000,00.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13</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Ilumiterra Construções e Montagens Ltda. lance R$ 110.000,00, Tecluz Comercio e Serviços Elétricos LTDA lance R$ 109.000,00.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14</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Ilumiterra Construções e Montagens Ltda. lance R$ 108.000,00, Tecluz Comercio e Serviços Elétricos LTDA lance R$ 107.000,00.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15</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Ilumiterra Construções e Montagens Ltda. lance R$ 106.000,00, Tecluz Comercio e Serviços Elétricos LTDA lance R$ 105.000,00.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16</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Ilumiterra Construções e Montagens Ltda. lance R$ 104.000,00, Tecluz Comercio e Serviços Elétricos LTDA lance R$ 103.000,00.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17</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Ilumiterra Construções e Montagens Ltda. lance R$ 102.000,00, Tecluz Comercio e Serviços Elétricos LTDA lance R$ 101.000,00.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18</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Ilumiterra Construções e Montagens Ltda. lance R$ 100.000,00, Tecluz Comercio e Serviços Elétricos LTDA lance R$ 99.000,00.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19</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Ilumiterra Construções e Montagens Ltda. lance R$ 98.000,00, Tecluz Comercio e Serviços Elétricos LTDA lance R$ 97.000,00.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20</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Ilumiterra Construções e Montagens Ltda. lance R$ 96.000,00, Tecluz Comercio e Serviços Elétricos LTDA lance R$ 95.000,00.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21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Ilumiterra Construções e Montagens Ltda. lance R$ 94.000,00, Tecluz Comercio e Serviços Elétricos LTDA lance R$ 93.000,00.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22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Ilumiterra Construções e Montagens Ltda. lance R$ 92.000,00, Tecluz Comercio e Serviços Elétricos LTDA lance R$ 91.000,00.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23</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Ilumiterra Construções e Montagens Ltda. lance R$ 90.000,00, Tecluz Comercio e Serviços Elétricos LTDA lance R$ 89.000,00 e não havendo mais lances para o lote a empresa </w:t>
      </w:r>
      <w:r>
        <w:rPr>
          <w:rFonts w:ascii="Arial" w:hAnsi="Arial" w:eastAsia="Arial" w:cs="Arial"/>
          <w:b/>
          <w:bCs/>
          <w:color w:val="000000"/>
          <w:kern w:val="1"/>
          <w:sz w:val="24"/>
          <w:szCs w:val="24"/>
          <w:lang w:eastAsia="zh-cn" w:bidi="ar-sa"/>
        </w:rPr>
        <w:t>Tecluz Comercio e Serviços Elétricos LTDA 10.663.115/0001-10 foi arrematante com o valor de R$ R$ 89.000,00 (oitenta e nove mil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Valor total do certame R$ 89.000,00 oitenta e oito mil novecentos e noventa e nove reais e oitenta e nove centavos.</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eastAsia="zh-cn" w:bidi="ar-sa"/>
        </w:rPr>
      </w:pPr>
      <w:r>
        <w:rPr>
          <w:rFonts w:ascii="Arial" w:hAnsi="Arial" w:eastAsia="Arial" w:cs="Arial"/>
          <w:b/>
          <w:bCs/>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eastAsia="zh-cn" w:bidi="ar-sa"/>
        </w:rPr>
      </w:pPr>
      <w:r>
        <w:rPr>
          <w:rFonts w:ascii="Arial" w:hAnsi="Arial" w:eastAsia="Arial" w:cs="Arial"/>
          <w:b/>
          <w:bCs/>
          <w:color w:val="000000"/>
          <w:kern w:val="1"/>
          <w:sz w:val="24"/>
          <w:szCs w:val="24"/>
          <w:lang w:eastAsia="zh-cn" w:bidi="ar-sa"/>
        </w:rPr>
        <w:t>RESULTADO DA SESSÃO PÚBLICA</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eastAsia="zh-cn" w:bidi="ar-sa"/>
        </w:rPr>
      </w:pPr>
      <w:r>
        <w:rPr>
          <w:rFonts w:ascii="Arial" w:hAnsi="Arial" w:eastAsia="Arial" w:cs="Arial"/>
          <w:b/>
          <w:bCs/>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Tecluz Comercio e Serviços Elétricos LTDA </w:t>
      </w:r>
      <w:r>
        <w:rPr>
          <w:rFonts w:ascii="Arial" w:hAnsi="Arial" w:eastAsia="Arial" w:cs="Arial"/>
          <w:color w:val="000000"/>
          <w:kern w:val="1"/>
          <w:sz w:val="24"/>
          <w:szCs w:val="24"/>
          <w:lang w:eastAsia="zh-cn" w:bidi="ar-sa"/>
        </w:rPr>
        <w:t xml:space="preserve">no valor total de </w:t>
      </w:r>
      <w:r>
        <w:rPr>
          <w:rFonts w:ascii="Arial" w:hAnsi="Arial" w:eastAsia="Arial" w:cs="Arial"/>
          <w:b/>
          <w:bCs/>
          <w:color w:val="000000"/>
          <w:kern w:val="1"/>
          <w:sz w:val="24"/>
          <w:szCs w:val="24"/>
          <w:lang w:eastAsia="zh-cn" w:bidi="ar-sa"/>
        </w:rPr>
        <w:t xml:space="preserve">R$ 89.000,00 </w:t>
      </w:r>
      <w:r>
        <w:rPr>
          <w:rFonts w:ascii="Arial" w:hAnsi="Arial" w:eastAsia="Arial" w:cs="Arial"/>
          <w:color w:val="000000"/>
          <w:kern w:val="1"/>
          <w:sz w:val="24"/>
          <w:szCs w:val="24"/>
          <w:lang w:eastAsia="zh-cn" w:bidi="ar-sa"/>
        </w:rPr>
        <w:t>(oitenta e oito mil novecentos e noventa e nove reais e oitenta e nove centavos) conforme quadro comparativo.</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A empresa Ilumiterra Construções e Montagens Ltda recebeu de volta seu envelope de habilitação protocolado sob n° 3165/2020.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Reinaldo Basileu Guareschi (Pregoeiro)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Ricardo Vieira da Silva (Membro)</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Sirleia de Almeida Leite (Membro)</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Maria Aparecida Alves (Membro)</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Lucia Claudia Pestana Giovanelli (Membro)</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Gilcileia Carlita Marino Nicchio (Membro)</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Roque Siqueira Gomes (Membro)</w:t>
      </w:r>
    </w:p>
    <w:p>
      <w:pPr>
        <w:spacing w:after="0" w:line="240" w:lineRule="auto"/>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kern w:val="1"/>
          <w:sz w:val="24"/>
          <w:szCs w:val="24"/>
        </w:rPr>
      </w:pPr>
      <w:r>
        <w:rPr>
          <w:rFonts w:ascii="Arial" w:hAnsi="Arial" w:eastAsia="Arial" w:cs="Arial"/>
          <w:kern w:val="1"/>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rPr>
      </w:pPr>
      <w:r>
        <w:rPr>
          <w:rFonts w:ascii="Arial" w:hAnsi="Arial" w:eastAsia="Arial" w:cs="Arial"/>
          <w:b/>
          <w:bCs/>
          <w:color w:val="000000"/>
          <w:kern w:val="1"/>
          <w:sz w:val="24"/>
          <w:szCs w:val="24"/>
          <w:lang w:eastAsia="zh-cn" w:bidi="ar-sa"/>
        </w:rPr>
        <w:t>Tecluz Comercio e Serviços Elétricos LTDA</w:t>
      </w:r>
      <w:r>
        <w:rPr>
          <w:rFonts w:ascii="Arial" w:hAnsi="Arial" w:eastAsia="Arial" w:cs="Arial"/>
          <w:b/>
          <w:bCs/>
          <w:color w:val="000000"/>
          <w:kern w:val="1"/>
          <w:sz w:val="24"/>
          <w:szCs w:val="24"/>
        </w:rPr>
        <w:t xml:space="preserve"> </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João Batista Aragão</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eastAsia="zh-cn" w:bidi="ar-sa"/>
        </w:rPr>
      </w:pPr>
      <w:r>
        <w:rPr>
          <w:rFonts w:ascii="Arial" w:hAnsi="Arial" w:eastAsia="Arial" w:cs="Arial"/>
          <w:b/>
          <w:bCs/>
          <w:color w:val="000000"/>
          <w:kern w:val="1"/>
          <w:sz w:val="24"/>
          <w:szCs w:val="24"/>
          <w:lang w:eastAsia="zh-cn" w:bidi="ar-sa"/>
        </w:rPr>
        <w:t>Ilumiterra Construções e Montagens Ltda</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Thayná de Almeida Lima</w:t>
      </w:r>
    </w:p>
    <w:sectPr>
      <w:footnotePr>
        <w:pos w:val="pageBottom"/>
        <w:numFmt w:val="decimal"/>
        <w:numStart w:val="1"/>
        <w:numRestart w:val="continuous"/>
      </w:footnotePr>
      <w:endnotePr>
        <w:pos w:val="docEnd"/>
        <w:numFmt w:val="decimal"/>
        <w:numStart w:val="1"/>
        <w:numRestart w:val="continuous"/>
      </w:endnotePr>
      <w:headerReference w:type="default" r:id="rId7"/>
      <w:type w:val="nextPage"/>
      <w:pgSz w:h="16838" w:w="11906"/>
      <w:pgMar w:left="1701" w:top="1417" w:right="1701" w:bottom="1417" w:header="708" w:footer="0"/>
      <w:paperSrc w:first="7" w:other="7" a="0" b="0"/>
      <w:pgNumType w:fmt="decimal"/>
      <w:tmGutter w:val="3"/>
      <w:mirrorMargins w:val="0"/>
      <w:tmSection w:h="-2">
        <w:tmHeader w:id="0" w:h="0" edge="708" text="0">
          <w:shd w:val="none"/>
        </w:tmHeader>
      </w:tmSection>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Calibri">
    <w:panose1 w:val="020F0502020204030204"/>
    <w:charset w:val="00"/>
    <w:family w:val="swiss"/>
    <w:pitch w:val="default"/>
  </w:font>
  <w:font w:name="Cambria">
    <w:panose1 w:val="02040503050406030204"/>
    <w:charset w:val="00"/>
    <w:family w:val="roman"/>
    <w:pitch w:val="default"/>
  </w:font>
  <w:font w:name="Batang">
    <w:panose1 w:val="020B0604020202020204"/>
    <w:charset w:val="00"/>
    <w:family w:val="auto"/>
    <w:pitch w:val="default"/>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3"/>
      <w:spacing/>
      <w:jc w:val="center"/>
    </w:pPr>
    <w:r>
      <w:rPr>
        <w:noProof/>
      </w:rPr>
      <w:object>
        <v:shapetype id="_x0000_t75" coordsize="21600,21600" o:spt="75" o:preferrelative="t" path="m,l,21600r21600,l21600,xe">
          <v:path gradientshapeok="t" o:connecttype="rect"/>
        </v:shapetype>
        <v:shape id="ObjetoOLE1" o:spid="_x0000_s2049" type="#_x0000_t75" style="width:44.25pt;height:35.25pt;z-index:251658241;mso-wrap-distance-left:9.00pt;mso-wrap-distance-top:0.00pt;mso-wrap-distance-right:9.00pt;mso-wrap-distance-bottom:0.00pt;mso-wrap-style:square" stroked="f" filled="f" v:ext="SMDATA_14_pQJJXxMAAAAlAAAAMg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EAAAAjAAAABAAAAGQAAAAXAAAAFAAAAAAAAAAAAAAA/38AAP9/AAAAAAAACQAAAAQAAAAAAAAADAAAABAAAAAAAAAAAAAAAAAAAAAAAAAAHgAAAGgAAAAAAAAAAAAAAAAAAAAAAAAAAAAAABAnAAAQJwAAAAAAAAAAAAAAAAAAAAAAAAAAAAAAAAAAAAAAAAAAAAAUAAAAAAAAAMDA/wAAAAAAZAAAADIAAAAAAAAAZAAAAAAAAAB/f38AAAAAACEAAABAAAAAPAAAAAAAAAAXoAAAAAAAAAAAAAAAAAAAAgAAAAAAAAAAAAAAAgAAAAAAAAB1AwAAwQIAAAAAAAAAAAAAAAAAACgAAAAIAAAAAQAAAAEAAAA=">
          <v:imagedata r:id="rId1" o:title="media/image1"/>
        </v:shape>
        <o:OLEObject Type="Embed" ProgID="PBrush" ShapeID="ObjetoOLE1" DrawAspect="Content" ObjectID="_1" r:id="rId2"/>
      </w:object>
    </w:r>
    <w:r/>
  </w:p>
  <w:p>
    <w:pPr>
      <w:pStyle w:val="para3"/>
      <w:spacing/>
      <w:jc w:val="center"/>
      <w:rPr>
        <w:rFonts w:ascii="Times New Roman" w:hAnsi="Times New Roman"/>
      </w:rPr>
    </w:pPr>
    <w:r>
      <w:rPr>
        <w:rFonts w:ascii="Times New Roman" w:hAnsi="Times New Roman"/>
      </w:rPr>
      <w:t>Prefeitura Municipal de São Domingos do Norte</w:t>
    </w:r>
  </w:p>
  <w:p>
    <w:pPr>
      <w:pStyle w:val="para3"/>
      <w:spacing/>
      <w:jc w:val="center"/>
      <w:rPr>
        <w:rFonts w:ascii="Times New Roman" w:hAnsi="Times New Roman"/>
      </w:rPr>
    </w:pPr>
    <w:r>
      <w:rPr>
        <w:rFonts w:ascii="Times New Roman" w:hAnsi="Times New Roman"/>
      </w:rPr>
      <w:t>Rodovia Gether Lopes de Farias – Bairro Emílio Callegari, s/nº - São Domingos do Norte/ES –</w:t>
    </w:r>
  </w:p>
  <w:p>
    <w:pPr>
      <w:pStyle w:val="para3"/>
      <w:spacing/>
      <w:jc w:val="center"/>
      <w:rPr>
        <w:rFonts w:ascii="Times New Roman" w:hAnsi="Times New Roman"/>
      </w:rPr>
    </w:pPr>
    <w:r>
      <w:rPr>
        <w:rFonts w:ascii="Times New Roman" w:hAnsi="Times New Roman"/>
      </w:rPr>
      <w:t>CEP 29745-000 Telefone (027) 3742 0200 CNPJ 36.350.312/0001-72</w:t>
    </w:r>
  </w:p>
  <w:p>
    <w:pPr>
      <w:pStyle w:val="para1"/>
    </w:pP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8"/>
  <w:autoHyphenation w:val="0"/>
  <w:doNotShadeFormData w:val="0"/>
  <w:captions>
    <w:caption w:name="Tabela" w:pos="below" w:numFmt="decimal"/>
    <w:caption w:name="Figura" w:pos="below" w:numFmt="decimal"/>
    <w:caption w:name="Imagem"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decimal"/>
    <w:numStart w:val="1"/>
    <w:numRestart w:val="continuous"/>
  </w:endnotePr>
  <w:compat/>
  <w:shapeDefaults>
    <o:shapedefaults v:ext="edit" spidmax="2050"/>
    <o:shapelayout v:ext="edit">
      <o:rules v:ext="edit"/>
    </o:shapelayout>
  </w:shapeDefaults>
  <w:tmPrefOne w:val="17"/>
  <w:tmPrefTwo w:val="1"/>
  <w:tmFmtPref w:val="189283435"/>
  <w:tmCommentsPr>
    <w:tmCommentsPlace w:val="0"/>
    <w:tmCommentsWidth w:val="3119"/>
    <w:tmCommentsColor w:val="-1"/>
  </w:tmCommentsPr>
  <w:tmReviewPr>
    <w:tmReviewEnabled w:val="0"/>
    <w:tmReviewShow w:val="1"/>
    <w:tmReviewPrint w:val="0"/>
    <w:tmRevisionNum w:val="20"/>
    <w:tmReviewMarkIns w:val="4"/>
    <w:tmReviewColorIns w:val="-1"/>
    <w:tmReviewMarkDel w:val="6"/>
    <w:tmReviewColorDel w:val="-1"/>
    <w:tmReviewMarkFmt w:val="1"/>
    <w:tmReviewColorFmt w:val="-1"/>
    <w:tmReviewMarkLn w:val="1"/>
    <w:tmReviewColorLn w:val="0"/>
    <w:tmReviewToolTip w:val="0"/>
  </w:tmReviewPr>
  <w:tmLastPos>
    <w:tmLastPosPage w:val="0"/>
    <w:tmLastPosSelect w:val="0"/>
    <w:tmLastPosFrameIdx w:val="0"/>
    <w:tmLastPosCaret>
      <w:tmLastPosPgfIdx w:val="3"/>
      <w:tmLastPosIdx w:val="126"/>
    </w:tmLastPosCaret>
    <w:tmLastPosAnchor>
      <w:tmLastPosPgfIdx w:val="0"/>
      <w:tmLastPosIdx w:val="0"/>
    </w:tmLastPosAnchor>
    <w:tmLastPosTblRect w:left="0" w:top="0" w:right="0" w:bottom="0"/>
  </w:tmLastPos>
  <w:tmAppRevision w:date="1598620325" w:val="976" w:fileVer="342" w:fileVerOS="4"/>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hAnsi="Calibri" w:eastAsia="Calibri" w:cs="Times New Roman"/>
        <w:sz w:val="22"/>
        <w:szCs w:val="22"/>
        <w:lang w:val="pt-br" w:eastAsia="zh-cn" w:bidi="ar-sa"/>
      </w:rPr>
    </w:rPrDefault>
    <w:pPrDefault>
      <w:pPr>
        <w:spacing w:after="200" w:line="276" w:lineRule="auto"/>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er"/>
    <w:qFormat/>
    <w:basedOn w:val="para0"/>
    <w:pPr>
      <w:spacing w:after="0" w:line="240" w:lineRule="auto"/>
      <w:tabs defTabSz="708">
        <w:tab w:val="center" w:pos="4252" w:leader="none"/>
        <w:tab w:val="right" w:pos="8504" w:leader="none"/>
      </w:tabs>
    </w:pPr>
  </w:style>
  <w:style w:type="paragraph" w:styleId="para2">
    <w:name w:val="Footer"/>
    <w:qFormat/>
    <w:basedOn w:val="para0"/>
    <w:pPr>
      <w:spacing w:after="0" w:line="240" w:lineRule="auto"/>
      <w:tabs defTabSz="708">
        <w:tab w:val="center" w:pos="4252" w:leader="none"/>
        <w:tab w:val="right" w:pos="8504" w:leader="none"/>
      </w:tabs>
    </w:pPr>
  </w:style>
  <w:style w:type="paragraph" w:styleId="para3">
    <w:name w:val="No Spacing"/>
    <w:qFormat/>
    <w:pPr>
      <w:spacing w:after="0" w:line="240" w:lineRule="auto"/>
    </w:pPr>
    <w:rPr>
      <w:rFonts w:ascii="Calibri" w:hAnsi="Calibri" w:eastAsia="Calibri"/>
      <w:sz w:val="22"/>
      <w:szCs w:val="22"/>
      <w:lang w:val="pt-br" w:eastAsia="zh-cn" w:bidi="ar-sa"/>
    </w:rPr>
  </w:style>
  <w:style w:type="character" w:styleId="char0" w:default="1">
    <w:name w:val="Default Paragraph Font"/>
  </w:style>
  <w:style w:type="character" w:styleId="char1" w:customStyle="1">
    <w:name w:val="Cabeçalho Char"/>
    <w:basedOn w:val="char0"/>
  </w:style>
  <w:style w:type="character" w:styleId="char2" w:customStyle="1">
    <w:name w:val="Rodapé Char"/>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hAnsi="Calibri" w:eastAsia="Calibri" w:cs="Times New Roman"/>
        <w:sz w:val="22"/>
        <w:szCs w:val="22"/>
        <w:lang w:val="pt-br" w:eastAsia="zh-cn" w:bidi="ar-sa"/>
      </w:rPr>
    </w:rPrDefault>
    <w:pPrDefault>
      <w:pPr>
        <w:spacing w:after="200" w:line="276" w:lineRule="auto"/>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er"/>
    <w:qFormat/>
    <w:basedOn w:val="para0"/>
    <w:pPr>
      <w:spacing w:after="0" w:line="240" w:lineRule="auto"/>
      <w:tabs defTabSz="708">
        <w:tab w:val="center" w:pos="4252" w:leader="none"/>
        <w:tab w:val="right" w:pos="8504" w:leader="none"/>
      </w:tabs>
    </w:pPr>
  </w:style>
  <w:style w:type="paragraph" w:styleId="para2">
    <w:name w:val="Footer"/>
    <w:qFormat/>
    <w:basedOn w:val="para0"/>
    <w:pPr>
      <w:spacing w:after="0" w:line="240" w:lineRule="auto"/>
      <w:tabs defTabSz="708">
        <w:tab w:val="center" w:pos="4252" w:leader="none"/>
        <w:tab w:val="right" w:pos="8504" w:leader="none"/>
      </w:tabs>
    </w:pPr>
  </w:style>
  <w:style w:type="paragraph" w:styleId="para3">
    <w:name w:val="No Spacing"/>
    <w:qFormat/>
    <w:pPr>
      <w:spacing w:after="0" w:line="240" w:lineRule="auto"/>
    </w:pPr>
    <w:rPr>
      <w:rFonts w:ascii="Calibri" w:hAnsi="Calibri" w:eastAsia="Calibri"/>
      <w:sz w:val="22"/>
      <w:szCs w:val="22"/>
      <w:lang w:val="pt-br" w:eastAsia="zh-cn" w:bidi="ar-sa"/>
    </w:rPr>
  </w:style>
  <w:style w:type="character" w:styleId="char0" w:default="1">
    <w:name w:val="Default Paragraph Font"/>
  </w:style>
  <w:style w:type="character" w:styleId="char1" w:customStyle="1">
    <w:name w:val="Cabeçalho Char"/>
    <w:basedOn w:val="char0"/>
  </w:style>
  <w:style w:type="character" w:styleId="char2" w:customStyle="1">
    <w:name w:val="Rodapé Char"/>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styles" Target="styles.xml"/><Relationship Id="rId6" Type="http://schemas.microsoft.com/office/2007/relationships/stylesWithEffects" Target="stylesWithEffects.xml"/><Relationship Id="rId7" Type="http://schemas.openxmlformats.org/officeDocument/2006/relationships/header" Target="header1.xml"/></Relationships>
</file>

<file path=word/_rels/header1.xml.rels><?xml version="1.0" encoding="UTF-8" standalone="yes" ?>
<Relationships xmlns="http://schemas.openxmlformats.org/package/2006/relationships"><Relationship Id="rId1" Type="http://schemas.openxmlformats.org/officeDocument/2006/relationships/image" Target="media/image1.png"/><Relationship Id="rId2"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Calibri"/>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rev.976</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PMSDN</dc:creator>
  <cp:keywords/>
  <dc:description/>
  <cp:lastModifiedBy/>
  <cp:revision>20</cp:revision>
  <cp:lastPrinted>2020-08-28T12:49:56Z</cp:lastPrinted>
  <dcterms:created xsi:type="dcterms:W3CDTF">2019-05-17T10:37:00Z</dcterms:created>
  <dcterms:modified xsi:type="dcterms:W3CDTF">2020-08-28T13:12:05Z</dcterms:modified>
</cp:coreProperties>
</file>