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SESSÃO DE JULGAMENTO - HABILITAÇÃO</w:t>
      </w:r>
    </w:p>
    <w:p>
      <w:pPr>
        <w:ind w:firstLine="426"/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Aos trinta dias do mês de setembro do ano de dois mil e vinte, às 09:00 horas, reuniu-se a Comissão Especial de Licitação desta Prefeitura, designada através Portaria nº 7.715/2020, de 06 de janeiro de 2020, com a finalidade de julgar as documentações apresentadas referentes à LICITAÇÃO MODALIDADE CONCORRÊNCIA N.º 02/2020, cujo objeto é a concessão de direito real de uso sobre bem imóvel a título gratuito, localizado no Polo Industrial Boa Sorte I, área de propriedade do Município, com a finalidade de incentivo e estímulo à instalação de empresas e geração de empregos e renda no Município de São Domingos do Norte, assim descrito: </w:t>
      </w:r>
      <w:r>
        <w:rPr>
          <w:rFonts w:ascii="Times New Roman" w:hAnsi="Times New Roman" w:eastAsia="Times New Roman"/>
          <w:b/>
          <w:color w:val="000000"/>
          <w:lang w:eastAsia="en-us"/>
        </w:rPr>
        <w:t>uma área de terras com aproximadamente 16.900,02 m² (dezesseis mil, novencetos metros e vinte centímetros), constituída pela área rural localizado no Córrego Oco do Pau, neste município</w:t>
      </w:r>
      <w:r>
        <w:rPr>
          <w:rFonts w:ascii="Times New Roman" w:hAnsi="Times New Roman"/>
          <w:color w:val="000000"/>
          <w:sz w:val="24"/>
          <w:szCs w:val="24"/>
        </w:rPr>
        <w:t>. Aberta a sessão, tendo como participantes: Rodrigo Alves Brune 09331282745, GT Imports Comercial Importadora LTDA, Chemistone Soluções Químicas LTDA, o envelope Nº 01 - DOCUMENTAÇÕES das licitantes devidamente lacradas foram abertos pelo Presidente da Comissão, para a devida análise quanto à regularidade das documentações apresentadas, de acordo com o que preceitua a lei 8.666/93 e suas alterações e o Edital de Concorrência nº 02/2020. Os membros da Comissão Especial de Licitação constataram que as empresas atenderam todas as exigências do Edital em epígrafe, sendo habilitadas a participarem da 2ª fase da licitação, aberturas dos envelopes propostas. Nada mais havendo a tratar, foi encerrada a sessão da qual foi lavrada a presente ATA, e arquivada em processo.</w:t>
      </w:r>
    </w:p>
    <w:p>
      <w:pPr>
        <w:ind w:firstLine="426"/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Reinaldo Basileu Guareschi ( Presidente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Maria Aparecida Alves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Diego Bohry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Cleidmar Kinach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Osmar Piantavinha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Rita de Cassia dos Santos Pestana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Jozimar Fachetti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Rodrigo Alves Brune 09331282745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</w:pPr>
      <w:r/>
    </w:p>
    <w:p>
      <w:pPr>
        <w:spacing w:after="0" w:line="240" w:lineRule="auto"/>
      </w:pPr>
      <w:r>
        <w:t>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GT Imports Comercial Importadora LTDA</w:t>
      </w:r>
    </w:p>
    <w:p>
      <w:pPr>
        <w:spacing w:after="0" w:line="240" w:lineRule="auto"/>
      </w:pPr>
      <w:r/>
    </w:p>
    <w:p>
      <w:pPr>
        <w:spacing w:after="0" w:line="240" w:lineRule="auto"/>
      </w:pPr>
      <w:r/>
    </w:p>
    <w:p>
      <w:pPr>
        <w:spacing w:after="0" w:line="240" w:lineRule="auto"/>
      </w:pPr>
      <w:r>
        <w:t>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Chemistone Soluções Químicas LTDA</w:t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SESSÃO DE JULGAMENTO - PROPOSTA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Aos trinta dias do mês de setembro do ano de dois mil e vinte, às 09:30min, reuniu-se a Comissão Especial de Licitação desta Prefeitura, designada através Portaria nº 7.715/2020, de 06 de janeiro de 2020</w:t>
      </w:r>
      <w:r>
        <w:rPr>
          <w:rFonts w:ascii="Times New Roman" w:hAnsi="Times New Roman"/>
          <w:sz w:val="24"/>
          <w:szCs w:val="24"/>
        </w:rPr>
        <w:t>. Deu início a segunda fase deste processo licitatório com o objetivo de instaurar a Sessão de Julgamento das Propostas das licitantes habilitadas:</w:t>
      </w:r>
      <w:r>
        <w:rPr>
          <w:rFonts w:ascii="Times New Roman" w:hAnsi="Times New Roman"/>
          <w:color w:val="000000"/>
          <w:sz w:val="24"/>
          <w:szCs w:val="24"/>
        </w:rPr>
        <w:t xml:space="preserve"> Rodrigo Alves Brune 09331282745, GT Imports Comercial Importadora LTDA, Chemistone Soluções Químicas LTDA</w:t>
      </w:r>
      <w:r>
        <w:rPr>
          <w:rFonts w:ascii="Times New Roman" w:hAnsi="Times New Roman"/>
          <w:sz w:val="24"/>
          <w:szCs w:val="24"/>
        </w:rPr>
        <w:t>, com vistas às normas estabelecidas na Lei n.º 8.666/93 e alterações posteriores e no Edital da Concorrência nº 02/2020. A CEL procedeu à abertura dos envelopes e após análise e devida conferência, de acordo com as especificações do Edital em epígrafe, sendo as propostas das licitantes validadas no processo. Em seguida os membros da CEL e demais presentes rubricaram as propostas declarando portando como vencedoras as licitantes: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Rodrigo Alves Brune 09331282745 no lote 02 com área de 2.698 m², GT Imports Comercial Importadora LTDA no lote 01 com área de 1.860 m², Chemistone Soluções Químicas LTDA no lote 03 com área de 4.329,78 m².</w:t>
      </w:r>
      <w:r>
        <w:rPr>
          <w:rFonts w:ascii="Times New Roman" w:hAnsi="Times New Roman"/>
          <w:color w:val="000000"/>
          <w:sz w:val="24"/>
          <w:szCs w:val="24"/>
        </w:rPr>
        <w:t xml:space="preserve"> Nada mais havendo a tratar foi dada como encerrada a sessão, a presidente ordenou a lavratura da ata que após lida e aprovada, segue assinada pelos membros da Comissão Especial de Licitação e demais presentes, sendo em seguida arquivada no processo.</w:t>
      </w: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Reinaldo Basileu Guareschi ( Presidente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Maria Aparecida Alves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Diego Bohry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Cleidmar Kinach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Osmar Piantavinha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Rita de Cassia dos Santos Pestana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Jozimar Fachetti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Rodrigo Alves Brune 09331282745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</w:pPr>
      <w:r/>
    </w:p>
    <w:p>
      <w:pPr>
        <w:spacing w:after="0" w:line="240" w:lineRule="auto"/>
      </w:pPr>
      <w:r>
        <w:t>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GT Imports Comercial Importadora LTDA</w:t>
      </w:r>
    </w:p>
    <w:p>
      <w:pPr>
        <w:spacing w:after="0" w:line="240" w:lineRule="auto"/>
      </w:pPr>
      <w:r/>
    </w:p>
    <w:p>
      <w:pPr>
        <w:spacing w:after="0" w:line="240" w:lineRule="auto"/>
      </w:pPr>
      <w:r/>
    </w:p>
    <w:p>
      <w:pPr>
        <w:spacing w:after="0" w:line="240" w:lineRule="auto"/>
      </w:pPr>
      <w:r>
        <w:t>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Chemistone Soluções Químicas LTDA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7"/>
      <w:footerReference w:type="default" r:id="rId8"/>
      <w:type w:val="nextPage"/>
      <w:pgSz w:h="15840" w:w="12240"/>
      <w:pgMar w:left="1701" w:top="1417" w:right="1701" w:bottom="1417" w:footer="0"/>
      <w:paperSrc w:first="7" w:other="7" a="0" b="0"/>
      <w:pgNumType w:fmt="decimal"/>
      <w:tmGutter w:val="3"/>
      <w:mirrorMargins w:val="0"/>
      <w:tmSection w:h="-2">
        <w:tmHeader w:id="0" w:h="0" edge="720" text="0">
          <w:shd w:val="none"/>
        </w:tmHeader>
        <w:tmFooter w:id="0" w:h="0" edge="0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Tahoma">
    <w:panose1 w:val="020B0604030504040204"/>
    <w:charset w:val="00"/>
    <w:family w:val="swiss"/>
    <w:pitch w:val="default"/>
  </w:font>
  <w:font w:name="Cambria">
    <w:panose1 w:val="0204050305040603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3"/>
    </w:pP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1"/>
      <w:spacing/>
      <w:jc w:val="center"/>
      <w:rPr>
        <w:rFonts w:ascii="Times New Roman" w:hAnsi="Times New Roman" w:cs="Times New Roman"/>
        <w:sz w:val="28"/>
        <w:szCs w:val="28"/>
      </w:rPr>
    </w:pPr>
    <w:r>
      <w:rPr>
        <w:noProof/>
      </w:rPr>
      <w:drawing>
        <wp:anchor distT="0" distB="0" distL="114300" distR="114300" simplePos="0" relativeHeight="251658241" behindDoc="0" locked="0" layoutInCell="0" hidden="0" allowOverlap="1">
          <wp:simplePos x="0" y="0"/>
          <wp:positionH relativeFrom="column">
            <wp:posOffset>2430145</wp:posOffset>
          </wp:positionH>
          <wp:positionV relativeFrom="paragraph">
            <wp:posOffset>-220345</wp:posOffset>
          </wp:positionV>
          <wp:extent cx="742950" cy="6000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  <a:extLst>
                      <a:ext uri="smNativeData">
                        <sm:smNativeData xmlns:sm="smNativeData" val="SMDATA_14_zoF0Xx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QoAAAAAAAAAAAAAAAAAAAAgAAAPMOAAAAAAAAAgAAAKX+//+SBAAAsQMAAAAAAACYFQAAdQE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" cy="600075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28"/>
        <w:szCs w:val="28"/>
      </w:rPr>
    </w:r>
  </w:p>
  <w:p>
    <w:pPr>
      <w:pStyle w:val="para1"/>
      <w:spacing w:before="0" w:after="0"/>
      <w:jc w:val="center"/>
      <w:rPr>
        <w:rFonts w:ascii="Times New Roman" w:hAnsi="Times New Roman" w:cs="Times New Roman"/>
        <w:b w:val="0"/>
        <w:sz w:val="22"/>
        <w:szCs w:val="22"/>
      </w:rPr>
    </w:pPr>
    <w:r>
      <w:rPr>
        <w:rFonts w:ascii="Times New Roman" w:hAnsi="Times New Roman" w:cs="Times New Roman"/>
        <w:b w:val="0"/>
        <w:sz w:val="22"/>
        <w:szCs w:val="22"/>
      </w:rPr>
      <w:t>Prefeitura Municipal de São Domingos do Norte/ES</w:t>
    </w:r>
  </w:p>
  <w:p>
    <w:pPr>
      <w:pStyle w:val="para2"/>
      <w:spacing/>
      <w:jc w:val="center"/>
      <w:rPr>
        <w:rFonts w:ascii="Times New Roman" w:hAnsi="Times New Roman"/>
      </w:rPr>
    </w:pPr>
    <w:r>
      <w:rPr>
        <w:rFonts w:ascii="Times New Roman" w:hAnsi="Times New Roman"/>
      </w:rPr>
      <w:t>Rodovia Gether Lopes de Farias – Bairro Emílio Callegari, s/n - São Domingos do Norte – ES - CEP 29745-000 – Telefone (27) 3742-1188 CNPJ 36.350.312/0001-72</w:t>
    </w:r>
  </w:p>
  <w:p>
    <w:pPr>
      <w:pStyle w:val="para2"/>
    </w:pP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3073"/>
    <o:shapelayout v:ext="edit">
      <o:rules v:ext="edit"/>
    </o:shapelayout>
  </w:shapeDefaults>
  <w:tmPrefOne w:val="17"/>
  <w:tmPrefTwo w:val="1"/>
  <w:tmFmtPref w:val="18928343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7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2"/>
    <w:tmLastPosSelect w:val="0"/>
    <w:tmLastPosFrameIdx w:val="0"/>
    <w:tmLastPosCaret>
      <w:tmLastPosPgfIdx w:val="70"/>
      <w:tmLastPosIdx w:val="719"/>
    </w:tmLastPosCaret>
    <w:tmLastPosAnchor>
      <w:tmLastPosPgfIdx w:val="0"/>
      <w:tmLastPosIdx w:val="0"/>
    </w:tmLastPosAnchor>
    <w:tmLastPosTblRect w:left="0" w:top="0" w:right="0" w:bottom="0"/>
  </w:tmLastPos>
  <w:tmAppRevision w:date="1601470926" w:val="978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before="240" w:after="60" w:line="240" w:lineRule="auto"/>
      <w:keepNext/>
      <w:outlineLvl w:val="2"/>
    </w:pPr>
    <w:rPr>
      <w:rFonts w:ascii="Arial" w:hAnsi="Arial" w:eastAsia="Times New Roman" w:cs="Arial"/>
      <w:b/>
      <w:bCs/>
      <w:sz w:val="26"/>
      <w:szCs w:val="26"/>
    </w:rPr>
  </w:style>
  <w:style w:type="paragraph" w:styleId="para2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3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 w:customStyle="1">
    <w:name w:val="Cabeçalho Char"/>
    <w:basedOn w:val="char0"/>
  </w:style>
  <w:style w:type="character" w:styleId="char2" w:customStyle="1">
    <w:name w:val="Rodapé Char"/>
    <w:basedOn w:val="char0"/>
  </w:style>
  <w:style w:type="character" w:styleId="char3" w:customStyle="1">
    <w:name w:val="Título 3 Char"/>
    <w:basedOn w:val="char0"/>
    <w:rPr>
      <w:rFonts w:ascii="Arial" w:hAnsi="Arial" w:eastAsia="Times New Roman" w:cs="Arial"/>
      <w:b/>
      <w:bCs/>
      <w:sz w:val="26"/>
      <w:szCs w:val="26"/>
    </w:rPr>
  </w:style>
  <w:style w:type="character" w:styleId="char4" w:customStyle="1">
    <w:name w:val="Texto de balão Char"/>
    <w:basedOn w:val="char0"/>
    <w:rPr>
      <w:rFonts w:ascii="Tahoma" w:hAnsi="Tahoma" w:cs="Tahoma"/>
      <w:sz w:val="16"/>
      <w:szCs w:val="16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before="240" w:after="60" w:line="240" w:lineRule="auto"/>
      <w:keepNext/>
      <w:outlineLvl w:val="2"/>
    </w:pPr>
    <w:rPr>
      <w:rFonts w:ascii="Arial" w:hAnsi="Arial" w:eastAsia="Times New Roman" w:cs="Arial"/>
      <w:b/>
      <w:bCs/>
      <w:sz w:val="26"/>
      <w:szCs w:val="26"/>
    </w:rPr>
  </w:style>
  <w:style w:type="paragraph" w:styleId="para2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3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 w:customStyle="1">
    <w:name w:val="Cabeçalho Char"/>
    <w:basedOn w:val="char0"/>
  </w:style>
  <w:style w:type="character" w:styleId="char2" w:customStyle="1">
    <w:name w:val="Rodapé Char"/>
    <w:basedOn w:val="char0"/>
  </w:style>
  <w:style w:type="character" w:styleId="char3" w:customStyle="1">
    <w:name w:val="Título 3 Char"/>
    <w:basedOn w:val="char0"/>
    <w:rPr>
      <w:rFonts w:ascii="Arial" w:hAnsi="Arial" w:eastAsia="Times New Roman" w:cs="Arial"/>
      <w:b/>
      <w:bCs/>
      <w:sz w:val="26"/>
      <w:szCs w:val="26"/>
    </w:rPr>
  </w:style>
  <w:style w:type="character" w:styleId="char4" w:customStyle="1">
    <w:name w:val="Texto de balão Char"/>
    <w:basedOn w:val="char0"/>
    <w:rPr>
      <w:rFonts w:ascii="Tahoma" w:hAnsi="Tahoma" w:cs="Tahoma"/>
      <w:sz w:val="16"/>
      <w:szCs w:val="16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Times New Roman"/>
        <a:cs typeface="Arial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rev.978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PMSDN</dc:creator>
  <cp:keywords/>
  <dc:description/>
  <cp:lastModifiedBy/>
  <cp:revision>7</cp:revision>
  <cp:lastPrinted>2020-09-30T13:05:57Z</cp:lastPrinted>
  <dcterms:created xsi:type="dcterms:W3CDTF">2017-04-19T10:25:00Z</dcterms:created>
  <dcterms:modified xsi:type="dcterms:W3CDTF">2020-09-30T13:02:06Z</dcterms:modified>
</cp:coreProperties>
</file>