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spacing w:val="-3"/>
          <w:sz w:val="22"/>
          <w:szCs w:val="22"/>
        </w:rPr>
      </w:pPr>
      <w:r>
        <w:rPr>
          <w:b/>
          <w:spacing w:val="-3"/>
          <w:sz w:val="22"/>
          <w:szCs w:val="22"/>
        </w:rPr>
        <w:t>PREGÃO PRESENCIAL 19/2020 - SRP</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19/2020</w:t>
      </w:r>
      <w:r>
        <w:rPr>
          <w:b/>
          <w:color w:val="000000"/>
          <w:spacing w:val="-3"/>
          <w:szCs w:val="22"/>
        </w:rPr>
        <w:t xml:space="preserve"> - SRP</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w:t>
      </w:r>
      <w:r>
        <w:rPr>
          <w:b/>
          <w:spacing w:val="-3"/>
          <w:szCs w:val="22"/>
        </w:rPr>
        <w:t xml:space="preserve"> </w:t>
      </w:r>
      <w:r>
        <w:rPr>
          <w:b/>
          <w:spacing w:val="-3"/>
          <w:szCs w:val="22"/>
        </w:rPr>
        <w:t xml:space="preserve">10 </w:t>
      </w:r>
      <w:r>
        <w:rPr>
          <w:b/>
          <w:spacing w:val="-3"/>
          <w:szCs w:val="22"/>
        </w:rPr>
        <w:t xml:space="preserve">de dezembro </w:t>
      </w:r>
      <w:r>
        <w:rPr>
          <w:b/>
          <w:spacing w:val="-3"/>
          <w:szCs w:val="22"/>
        </w:rPr>
        <w:t xml:space="preserve">de </w:t>
      </w:r>
      <w:r>
        <w:rPr>
          <w:b/>
          <w:spacing w:val="-3"/>
          <w:szCs w:val="22"/>
        </w:rPr>
        <w:t>20</w:t>
      </w:r>
      <w:r>
        <w:rPr>
          <w:b/>
          <w:spacing w:val="-3"/>
          <w:szCs w:val="22"/>
        </w:rPr>
        <w:t>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19/2020 - SRP</w:t>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por Item”, para </w:t>
      </w:r>
      <w:r>
        <w:rPr>
          <w:b/>
          <w:bCs/>
          <w:sz w:val="22"/>
          <w:szCs w:val="22"/>
        </w:rPr>
        <w:t>AQUISIÇÃO DE CESTAS BÁSICAS</w:t>
      </w:r>
      <w:r>
        <w:rPr>
          <w:sz w:val="22"/>
          <w:szCs w:val="22"/>
        </w:rPr>
        <w:t>, conforme Processos n</w:t>
      </w:r>
      <w:r>
        <w:rPr>
          <w:sz w:val="22"/>
          <w:szCs w:val="22"/>
          <w:u w:color="auto" w:val="single"/>
          <w:vertAlign w:val="superscript"/>
        </w:rPr>
        <w:t>o</w:t>
      </w:r>
      <w:r>
        <w:rPr>
          <w:sz w:val="22"/>
          <w:szCs w:val="22"/>
        </w:rPr>
        <w:t xml:space="preserve"> 2467/2020, devidamente aprovado pela autoridade competente. O Pregão será realizado pelo Pregoeiro e Equipe de Apoio, </w:t>
      </w:r>
      <w:r>
        <w:rPr>
          <w:color w:val="000000"/>
          <w:sz w:val="22"/>
          <w:szCs w:val="22"/>
        </w:rPr>
        <w:t>designados pela Portaria N</w:t>
      </w:r>
      <w:r>
        <w:rPr>
          <w:sz w:val="22"/>
          <w:szCs w:val="22"/>
          <w:u w:color="auto" w:val="single"/>
          <w:vertAlign w:val="superscript"/>
        </w:rPr>
        <w:t>o</w:t>
      </w:r>
      <w:r>
        <w:rPr>
          <w:sz w:val="22"/>
          <w:szCs w:val="22"/>
        </w:rPr>
        <w:t xml:space="preserve"> 7.735, de 03/02/2020, publicada em 04/02/2020,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r>
        <w:rPr>
          <w:sz w:val="22"/>
          <w:szCs w:val="22"/>
        </w:rPr>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10/</w:t>
      </w:r>
      <w:r>
        <w:rPr>
          <w:b/>
          <w:sz w:val="22"/>
          <w:szCs w:val="22"/>
        </w:rPr>
        <w:t>12/</w:t>
      </w:r>
      <w:r>
        <w:rPr>
          <w:b/>
          <w:sz w:val="22"/>
          <w:szCs w:val="22"/>
        </w:rPr>
        <w:t>20</w:t>
      </w:r>
      <w:r>
        <w:rPr>
          <w:b/>
          <w:sz w:val="22"/>
          <w:szCs w:val="22"/>
        </w:rPr>
        <w:t>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10/</w:t>
      </w:r>
      <w:r>
        <w:rPr>
          <w:b/>
          <w:sz w:val="22"/>
          <w:szCs w:val="22"/>
        </w:rPr>
        <w:t>12/</w:t>
      </w:r>
      <w:r>
        <w:rPr>
          <w:b/>
          <w:sz w:val="22"/>
          <w:szCs w:val="22"/>
        </w:rPr>
        <w:t>20</w:t>
      </w:r>
      <w:r>
        <w:rPr>
          <w:b/>
          <w:sz w:val="22"/>
          <w:szCs w:val="22"/>
        </w:rPr>
        <w:t>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10/</w:t>
      </w:r>
      <w:r>
        <w:rPr>
          <w:b/>
          <w:sz w:val="22"/>
          <w:szCs w:val="22"/>
        </w:rPr>
        <w:t>12/</w:t>
      </w:r>
      <w:r>
        <w:rPr>
          <w:b/>
          <w:sz w:val="22"/>
          <w:szCs w:val="22"/>
        </w:rPr>
        <w:t>20</w:t>
      </w:r>
      <w:r>
        <w:rPr>
          <w:b/>
          <w:sz w:val="22"/>
          <w:szCs w:val="22"/>
        </w:rPr>
        <w:t>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19/2020 - SRP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t xml:space="preserve">“Prefeitura Municipal de São Domingos do Norte – </w:t>
      </w:r>
      <w:r>
        <w:rPr>
          <w:rFonts w:eastAsia="Batang"/>
          <w:b/>
          <w:bCs/>
          <w:sz w:val="22"/>
          <w:szCs w:val="22"/>
        </w:rPr>
        <w:t>Pregão Presencial nº 19/2020 - SRP</w:t>
      </w:r>
      <w:r>
        <w:rPr>
          <w:rFonts w:eastAsia="Batang"/>
          <w:sz w:val="22"/>
          <w:szCs w:val="22"/>
        </w:rPr>
        <w:t xml:space="preserve"> – Envelope nº 002 – HABILITAÇÃO”.</w:t>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color w:val="000000"/>
          <w:sz w:val="22"/>
          <w:szCs w:val="22"/>
        </w:rPr>
      </w:pPr>
      <w:r>
        <w:rPr>
          <w:sz w:val="22"/>
          <w:szCs w:val="22"/>
        </w:rPr>
        <w:t xml:space="preserve">2.1. </w:t>
      </w:r>
      <w:r>
        <w:rPr>
          <w:color w:val="000000"/>
          <w:sz w:val="22"/>
          <w:szCs w:val="22"/>
        </w:rPr>
        <w:t>Aquisição de 1.000 (mil) Kits Cestas Básicas acondicionadas em embalagens plásticas transparentes e resistentes, que serão distribuídas de forma gratuita às famílias de baixa renda, que encontram-se em estado de vulnerabilidade social, que necessitam de auxílio no complemento alimentar, e que comprovem suas rendas familiares inferiores a (01) um salário mínimo. De acordo com a Lei Municipal nº 547, de 27 de fevereiro de 2009, para o exercício de 2020, tudo conforme anexo I e Termo de Referência.</w:t>
      </w:r>
      <w:r>
        <w:rPr>
          <w:color w:val="000000"/>
          <w:sz w:val="22"/>
          <w:szCs w:val="22"/>
        </w:rPr>
      </w:r>
    </w:p>
    <w:p>
      <w:pPr>
        <w:spacing w:before="0"/>
        <w:jc w:val="both"/>
        <w:rPr>
          <w:color w:val="000000"/>
          <w:sz w:val="22"/>
          <w:szCs w:val="22"/>
        </w:rPr>
      </w:pPr>
      <w:r>
        <w:rPr>
          <w:color w:val="000000"/>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no item 5 e 6 do Termo de Referência, anexo VIII deste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w:t>
      </w:r>
    </w:p>
    <w:p>
      <w:pPr>
        <w:spacing w:before="0"/>
        <w:jc w:val="both"/>
        <w:rPr>
          <w:b/>
          <w:color w:val="000000"/>
          <w:sz w:val="22"/>
          <w:szCs w:val="22"/>
        </w:rPr>
      </w:pPr>
      <w:r>
        <w:rPr>
          <w:b/>
          <w:color w:val="000000"/>
          <w:sz w:val="22"/>
          <w:szCs w:val="22"/>
        </w:rPr>
        <w:t>Fichas:</w:t>
      </w:r>
    </w:p>
    <w:p>
      <w:pPr>
        <w:spacing w:before="0"/>
        <w:jc w:val="both"/>
        <w:rPr>
          <w:b/>
          <w:color w:val="000000"/>
          <w:sz w:val="22"/>
          <w:szCs w:val="22"/>
        </w:rPr>
      </w:pPr>
      <w:r>
        <w:rPr>
          <w:b/>
          <w:color w:val="000000"/>
          <w:sz w:val="22"/>
          <w:szCs w:val="22"/>
        </w:rPr>
        <w:t>Secretaria Municipal Trabalho Assistência e Desenvolvimento Social</w:t>
      </w:r>
    </w:p>
    <w:p>
      <w:pPr>
        <w:spacing w:before="0"/>
        <w:jc w:val="both"/>
        <w:rPr>
          <w:color w:val="000000"/>
          <w:sz w:val="22"/>
          <w:szCs w:val="22"/>
        </w:rPr>
      </w:pPr>
      <w:r>
        <w:rPr>
          <w:color w:val="000000"/>
          <w:sz w:val="22"/>
          <w:szCs w:val="22"/>
        </w:rPr>
        <w:t>344 - 1390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de acordo com as nomas estabelecidas no decreto municipal 1.758 de 2020, obedecendo as ordens cronológicas para pagamento, de acordo com as fontes de recurso estabelecidas por cada secretaria, não ultrapassando o prazo de 30 dias, contados a partir da apresentação da nota fiscal e  atestado do fiscal da ata de registro de preços.</w:t>
      </w:r>
    </w:p>
    <w:p>
      <w:pPr>
        <w:spacing w:before="0"/>
        <w:jc w:val="both"/>
        <w:rPr>
          <w:color w:val="000000"/>
          <w:sz w:val="22"/>
          <w:szCs w:val="22"/>
        </w:rPr>
      </w:pPr>
      <w:r>
        <w:rPr>
          <w:color w:val="000000"/>
          <w:sz w:val="22"/>
          <w:szCs w:val="22"/>
        </w:rPr>
        <w:t>6.2.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6.3. A liquidação das despesas obedecerá rigorosamente o estabelecido na Lei nº 4.320/64 e alterações posteriores.</w:t>
      </w:r>
    </w:p>
    <w:p>
      <w:pPr>
        <w:spacing w:before="0"/>
        <w:jc w:val="both"/>
        <w:rPr>
          <w:color w:val="000000"/>
          <w:sz w:val="22"/>
          <w:szCs w:val="22"/>
        </w:rPr>
      </w:pPr>
      <w:r>
        <w:rPr>
          <w:color w:val="000000"/>
          <w:sz w:val="22"/>
          <w:szCs w:val="22"/>
        </w:rPr>
        <w:t>6.4.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6.5. A eventual inadimplência de um dos órgãos participantes desta Ata não produzirá efeitos quanto aos demais.</w:t>
      </w:r>
    </w:p>
    <w:p>
      <w:pPr>
        <w:spacing w:before="0"/>
        <w:jc w:val="both"/>
        <w:rPr>
          <w:color w:val="000000"/>
          <w:sz w:val="22"/>
          <w:szCs w:val="22"/>
        </w:rPr>
      </w:pPr>
      <w:r>
        <w:rPr>
          <w:color w:val="000000"/>
          <w:sz w:val="22"/>
          <w:szCs w:val="22"/>
        </w:rPr>
        <w:t>6.6.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b/>
          <w:bCs/>
          <w:color w:val="000000"/>
          <w:sz w:val="22"/>
          <w:szCs w:val="22"/>
        </w:rPr>
        <w:t xml:space="preserve">10.3. </w:t>
      </w:r>
      <w:r>
        <w:rPr>
          <w:b/>
          <w:color w:val="000000"/>
          <w:sz w:val="22"/>
          <w:szCs w:val="22"/>
        </w:rPr>
        <w:t xml:space="preserve">Credenciamento – Para fins de Credenciamento junto ao Pregoeiro, o proponente poderá enviar um representante munido de credencial conforme modelo deste Edital.  E apresentar o contrato social, cópias dos documentos dos sócios (se houver). Sendo representante legal ou não, deverá apresentar acompanhada da </w:t>
      </w:r>
      <w:r>
        <w:rPr>
          <w:b/>
          <w:sz w:val="22"/>
          <w:szCs w:val="22"/>
        </w:rPr>
        <w:t>Certidão Simplificada da Junta Comercial expedida em até 120 (cento e vinte) dias anterior à abertura do certame.</w:t>
      </w:r>
    </w:p>
    <w:p>
      <w:pPr>
        <w:spacing w:before="0"/>
        <w:jc w:val="both"/>
        <w:rPr>
          <w:b/>
          <w:sz w:val="22"/>
          <w:szCs w:val="22"/>
        </w:rPr>
      </w:pPr>
      <w:r>
        <w:rPr>
          <w:b/>
          <w:sz w:val="22"/>
          <w:szCs w:val="22"/>
        </w:rPr>
        <w:t>10.4. Para as empresas ME e EPP’s, será necessário apresentar o anexo X juntamente com os demais documentos do item 10.3 para poderem usurfruir dos benefícios da Lei 123/2006.</w:t>
      </w:r>
    </w:p>
    <w:p>
      <w:pPr>
        <w:spacing w:before="0"/>
        <w:jc w:val="both"/>
        <w:rPr>
          <w:b/>
          <w:sz w:val="22"/>
          <w:szCs w:val="22"/>
        </w:rPr>
      </w:pPr>
      <w:r>
        <w:rPr>
          <w:b/>
          <w:sz w:val="22"/>
          <w:szCs w:val="22"/>
        </w:rPr>
      </w:r>
    </w:p>
    <w:p>
      <w:pPr>
        <w:spacing w:before="0"/>
        <w:jc w:val="both"/>
        <w:rPr>
          <w:b/>
          <w:bCs/>
          <w:sz w:val="22"/>
          <w:szCs w:val="22"/>
        </w:rPr>
      </w:pPr>
      <w:r>
        <w:rPr>
          <w:b/>
          <w:bCs/>
          <w:sz w:val="22"/>
          <w:szCs w:val="22"/>
        </w:rPr>
        <w:t>11 - REGULAMENTOS OPERACIONAIS DO CERTAME</w:t>
      </w:r>
    </w:p>
    <w:p>
      <w:pPr>
        <w:spacing w:before="0"/>
        <w:jc w:val="both"/>
        <w:rPr>
          <w:sz w:val="22"/>
          <w:szCs w:val="22"/>
        </w:rPr>
      </w:pPr>
      <w:r>
        <w:rPr>
          <w:sz w:val="22"/>
          <w:szCs w:val="22"/>
        </w:rPr>
        <w:t>11.1. O certame será conduzido pelo Pregoeiro, que terá, em especial, as seguintes atribuições:</w:t>
      </w:r>
    </w:p>
    <w:p>
      <w:pPr>
        <w:spacing w:before="0"/>
        <w:jc w:val="both"/>
        <w:rPr>
          <w:sz w:val="22"/>
          <w:szCs w:val="22"/>
        </w:rPr>
      </w:pPr>
      <w:r>
        <w:rPr>
          <w:sz w:val="22"/>
          <w:szCs w:val="22"/>
        </w:rPr>
        <w:t>a) coordenar o processo licitatório;</w:t>
      </w:r>
    </w:p>
    <w:p>
      <w:pPr>
        <w:spacing w:before="0"/>
        <w:jc w:val="both"/>
        <w:rPr>
          <w:sz w:val="22"/>
          <w:szCs w:val="22"/>
        </w:rPr>
      </w:pPr>
      <w:r>
        <w:rPr>
          <w:sz w:val="22"/>
          <w:szCs w:val="22"/>
        </w:rPr>
        <w:t>b) receber, examinar e decidir as impugnações e consultas ao edital, apoiado pelo setor responsável pela sua elaboração;</w:t>
      </w:r>
    </w:p>
    <w:p>
      <w:pPr>
        <w:spacing w:before="0"/>
        <w:jc w:val="both"/>
        <w:rPr>
          <w:sz w:val="22"/>
          <w:szCs w:val="22"/>
        </w:rPr>
      </w:pPr>
      <w:r>
        <w:rPr>
          <w:sz w:val="22"/>
          <w:szCs w:val="22"/>
        </w:rPr>
        <w:t>c) verificar a conformidade da proposta com os requisitos estabelecidos no instrumento convocatório;</w:t>
      </w:r>
    </w:p>
    <w:p>
      <w:pPr>
        <w:spacing w:before="0"/>
        <w:jc w:val="both"/>
        <w:rPr>
          <w:sz w:val="22"/>
          <w:szCs w:val="22"/>
        </w:rPr>
      </w:pPr>
      <w:r>
        <w:rPr>
          <w:sz w:val="22"/>
          <w:szCs w:val="22"/>
        </w:rPr>
        <w:t>d) dirigir a etapa de lances;</w:t>
      </w:r>
    </w:p>
    <w:p>
      <w:pPr>
        <w:spacing w:before="0"/>
        <w:jc w:val="both"/>
        <w:rPr>
          <w:sz w:val="22"/>
          <w:szCs w:val="22"/>
        </w:rPr>
      </w:pPr>
      <w:r>
        <w:rPr>
          <w:sz w:val="22"/>
          <w:szCs w:val="22"/>
        </w:rPr>
        <w:t>e) verificar e julgar as condições de habilitação;</w:t>
      </w:r>
    </w:p>
    <w:p>
      <w:pPr>
        <w:spacing w:before="0"/>
        <w:jc w:val="both"/>
        <w:rPr>
          <w:sz w:val="22"/>
          <w:szCs w:val="22"/>
        </w:rPr>
      </w:pPr>
      <w:r>
        <w:rPr>
          <w:sz w:val="22"/>
          <w:szCs w:val="22"/>
        </w:rPr>
        <w:t>f) receber, examinar e decidir os recursos, encaminhando à autoridade competente quando mantiver sua decisão;</w:t>
      </w:r>
    </w:p>
    <w:p>
      <w:pPr>
        <w:spacing w:before="0"/>
        <w:jc w:val="both"/>
        <w:rPr>
          <w:sz w:val="22"/>
          <w:szCs w:val="22"/>
        </w:rPr>
      </w:pPr>
      <w:r>
        <w:rPr>
          <w:sz w:val="22"/>
          <w:szCs w:val="22"/>
        </w:rPr>
        <w:t>g) indicar o vencedor do certame;</w:t>
      </w:r>
    </w:p>
    <w:p>
      <w:pPr>
        <w:spacing w:before="0"/>
        <w:jc w:val="both"/>
        <w:rPr>
          <w:sz w:val="22"/>
          <w:szCs w:val="22"/>
        </w:rPr>
      </w:pPr>
      <w:r>
        <w:rPr>
          <w:sz w:val="22"/>
          <w:szCs w:val="22"/>
        </w:rPr>
        <w:t>h) adjudicar o objeto, quando não houver recurso, sendo que, em havendo recursos, competirá ao ordenador de despesas a adjudicação;</w:t>
      </w:r>
    </w:p>
    <w:p>
      <w:pPr>
        <w:spacing w:before="0"/>
        <w:jc w:val="both"/>
        <w:rPr>
          <w:sz w:val="22"/>
          <w:szCs w:val="22"/>
        </w:rPr>
      </w:pPr>
      <w:r>
        <w:rPr>
          <w:sz w:val="22"/>
          <w:szCs w:val="22"/>
        </w:rPr>
        <w:t xml:space="preserve">i) conduzir os trabalhos da equipe de apoio; </w:t>
      </w:r>
    </w:p>
    <w:p>
      <w:pPr>
        <w:spacing w:before="0"/>
        <w:jc w:val="both"/>
        <w:rPr>
          <w:sz w:val="22"/>
          <w:szCs w:val="22"/>
        </w:rPr>
      </w:pPr>
      <w:r>
        <w:rPr>
          <w:sz w:val="22"/>
          <w:szCs w:val="22"/>
        </w:rPr>
        <w:t>j) encaminhar o processo devidamente instruído à autoridade superior e propor a homologação.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12 - DAS OBRIGAÇÕES DOS LICITANTES </w:t>
      </w:r>
    </w:p>
    <w:p>
      <w:pPr>
        <w:spacing w:before="0"/>
        <w:jc w:val="both"/>
        <w:rPr>
          <w:sz w:val="22"/>
          <w:szCs w:val="22"/>
        </w:rPr>
      </w:pPr>
      <w:r>
        <w:rPr>
          <w:sz w:val="22"/>
          <w:szCs w:val="22"/>
        </w:rPr>
        <w:t>12.1. Caberá ao licitante interessado em participar do Pregão Presencial:</w:t>
      </w:r>
    </w:p>
    <w:p>
      <w:pPr>
        <w:spacing w:before="0"/>
        <w:jc w:val="both"/>
        <w:rPr>
          <w:sz w:val="22"/>
          <w:szCs w:val="22"/>
        </w:rPr>
      </w:pPr>
      <w:r>
        <w:rPr>
          <w:sz w:val="22"/>
          <w:szCs w:val="22"/>
        </w:rPr>
        <w:t>a) remeter, no prazo estabelecido, exclusivamente, a proposta e, quando for o caso, seus anexos;</w:t>
      </w:r>
    </w:p>
    <w:p>
      <w:pPr>
        <w:spacing w:before="0"/>
        <w:jc w:val="both"/>
        <w:rPr>
          <w:sz w:val="22"/>
          <w:szCs w:val="22"/>
        </w:rPr>
      </w:pPr>
      <w:r>
        <w:rPr>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sz w:val="22"/>
          <w:szCs w:val="22"/>
        </w:rPr>
      </w:pPr>
      <w:r>
        <w:rPr>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13 - DO PEDIDO DE ESCLARECIMENTOS E DA IMPUGNAÇÃO AO EDITAL </w:t>
      </w:r>
    </w:p>
    <w:p>
      <w:pPr>
        <w:spacing w:before="0"/>
        <w:jc w:val="both"/>
        <w:rPr>
          <w:sz w:val="22"/>
          <w:szCs w:val="22"/>
        </w:rPr>
      </w:pPr>
      <w:r>
        <w:rPr>
          <w:sz w:val="22"/>
          <w:szCs w:val="22"/>
        </w:rPr>
        <w:t>13.1. Até dois dias úteis antes da data fixada para abertura da sessão pública, qualquer pessoa poderá impugnar o ato convocatório deste Pregão.</w:t>
      </w:r>
      <w:r>
        <w:rPr>
          <w:b/>
          <w:bCs/>
          <w:sz w:val="22"/>
          <w:szCs w:val="22"/>
        </w:rPr>
        <w:t xml:space="preserve"> </w:t>
      </w:r>
      <w:r>
        <w:rPr>
          <w:sz w:val="22"/>
          <w:szCs w:val="22"/>
        </w:rPr>
      </w:r>
    </w:p>
    <w:p>
      <w:pPr>
        <w:spacing w:before="0"/>
        <w:jc w:val="both"/>
        <w:rPr>
          <w:sz w:val="22"/>
          <w:szCs w:val="22"/>
        </w:rPr>
      </w:pPr>
      <w:r>
        <w:rPr>
          <w:sz w:val="22"/>
          <w:szCs w:val="22"/>
        </w:rPr>
        <w:t xml:space="preserve">13.2. Caberá ao Pregoeiro, auxiliado pelo setor responsável pela elaboração deste edital, decidir sobre a impugnação no prazo de até  </w:t>
      </w:r>
      <w:r>
        <w:rPr>
          <w:b/>
          <w:sz w:val="22"/>
          <w:szCs w:val="22"/>
          <w:u w:color="auto" w:val="single"/>
        </w:rPr>
        <w:t>24 (</w:t>
      </w:r>
      <w:r>
        <w:rPr>
          <w:b/>
          <w:bCs/>
          <w:sz w:val="22"/>
          <w:szCs w:val="22"/>
          <w:u w:color="auto" w:val="single"/>
        </w:rPr>
        <w:t>vinte e quatro) horas</w:t>
      </w:r>
      <w:r>
        <w:rPr>
          <w:sz w:val="22"/>
          <w:szCs w:val="22"/>
        </w:rPr>
        <w:t>.</w:t>
      </w:r>
    </w:p>
    <w:p>
      <w:pPr>
        <w:spacing w:before="0"/>
        <w:jc w:val="both"/>
        <w:rPr>
          <w:sz w:val="22"/>
          <w:szCs w:val="22"/>
        </w:rPr>
      </w:pPr>
      <w:r>
        <w:rPr>
          <w:sz w:val="22"/>
          <w:szCs w:val="22"/>
        </w:rPr>
        <w:t>13.3. Caso o Pregoeiro decida pela não impugnação do ato convocatório, deverá encaminhar o processo para a autoridade competente – ordenadora da despesa - a quem competirá, nesse caso, ratificar ou alterar a decisão da pregoeiro.</w:t>
      </w:r>
    </w:p>
    <w:p>
      <w:pPr>
        <w:spacing w:before="0"/>
        <w:jc w:val="both"/>
        <w:rPr>
          <w:sz w:val="22"/>
          <w:szCs w:val="22"/>
        </w:rPr>
      </w:pPr>
      <w:r>
        <w:rPr>
          <w:sz w:val="22"/>
          <w:szCs w:val="22"/>
        </w:rPr>
        <w:t>13.4. Acolhida a impugnação contra o ato convocatório, será definida e publicada nova data para realização do certame.</w:t>
      </w:r>
    </w:p>
    <w:p>
      <w:pPr>
        <w:spacing w:before="0"/>
        <w:jc w:val="both"/>
        <w:rPr>
          <w:sz w:val="22"/>
          <w:szCs w:val="22"/>
        </w:rPr>
      </w:pPr>
      <w:r>
        <w:rPr>
          <w:sz w:val="22"/>
          <w:szCs w:val="22"/>
        </w:rPr>
        <w:t xml:space="preserve">13.5. Os </w:t>
      </w:r>
      <w:r>
        <w:rPr>
          <w:bCs/>
          <w:sz w:val="22"/>
          <w:szCs w:val="22"/>
        </w:rPr>
        <w:t>pedidos de esclarecimentos</w:t>
      </w:r>
      <w:r>
        <w:rPr>
          <w:sz w:val="22"/>
          <w:szCs w:val="22"/>
        </w:rPr>
        <w:t xml:space="preserve"> referentes a este processo licitatório deverão ser enviados a pregoeiro, até </w:t>
      </w:r>
      <w:r>
        <w:rPr>
          <w:b/>
          <w:bCs/>
          <w:sz w:val="22"/>
          <w:szCs w:val="22"/>
        </w:rPr>
        <w:t>dois dias úteis anteriores</w:t>
      </w:r>
      <w:r>
        <w:rPr>
          <w:sz w:val="22"/>
          <w:szCs w:val="22"/>
        </w:rPr>
        <w:t xml:space="preserve"> à data fixada para abertura da sessão pública, no endereço indicado neste edital.</w:t>
      </w:r>
      <w:r>
        <w:rPr>
          <w:sz w:val="22"/>
          <w:szCs w:val="22"/>
        </w:rPr>
      </w:r>
    </w:p>
    <w:p>
      <w:pPr>
        <w:spacing w:before="0"/>
        <w:jc w:val="both"/>
        <w:rPr>
          <w:sz w:val="22"/>
          <w:szCs w:val="22"/>
        </w:rPr>
      </w:pPr>
      <w:r>
        <w:rPr>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w:t>
      </w:r>
      <w:r>
        <w:rPr>
          <w:b/>
          <w:bCs/>
          <w:sz w:val="22"/>
          <w:szCs w:val="22"/>
        </w:rPr>
      </w:r>
    </w:p>
    <w:p>
      <w:pPr>
        <w:spacing w:before="0"/>
        <w:jc w:val="both"/>
        <w:rPr>
          <w:sz w:val="22"/>
          <w:szCs w:val="22"/>
        </w:rPr>
      </w:pPr>
      <w:r>
        <w:rPr>
          <w:sz w:val="22"/>
          <w:szCs w:val="22"/>
        </w:rPr>
        <w:t>14.6. O licitante deverá solicitar esse arquivo em dia útil desta municipalidade até as 12:00h do dia antecedente ao certame marcado.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houver no mínimo 3 (três) propostas nas condições definidas no subitem anterior, serão consideradas classificadas para essa fase competitiva as melhores propostas subsequentes, até o máximo de 3 (três), com valores distintos, ou seja, se houver propostas com empate de valores, as mesmas serão consideradas com uma única proposta, ou seja, além destas, serão classificadas mais 02 (duas) propostas.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r>
    </w:p>
    <w:p>
      <w:pPr>
        <w:spacing w:before="0"/>
        <w:jc w:val="both"/>
        <w:rPr>
          <w:b/>
          <w:bCs/>
          <w:sz w:val="22"/>
          <w:szCs w:val="22"/>
        </w:rPr>
      </w:pPr>
      <w:r>
        <w:rPr>
          <w:b/>
          <w:bCs/>
          <w:sz w:val="22"/>
          <w:szCs w:val="22"/>
        </w:rPr>
        <w:t>16 - DA HABILITAÇÃO DOS LICITANTES CLASSIFICADOS</w:t>
      </w:r>
    </w:p>
    <w:p>
      <w:pPr>
        <w:spacing w:before="0"/>
        <w:jc w:val="both"/>
        <w:rPr>
          <w:sz w:val="22"/>
          <w:szCs w:val="22"/>
        </w:rPr>
      </w:pPr>
      <w:r>
        <w:rPr>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sz w:val="22"/>
          <w:szCs w:val="22"/>
        </w:rPr>
      </w:pPr>
      <w:r>
        <w:rPr>
          <w:rStyle w:val="char3"/>
          <w:i w:val="0"/>
          <w:iCs w:val="0"/>
          <w:sz w:val="22"/>
          <w:szCs w:val="22"/>
        </w:rPr>
        <w:t>16</w:t>
      </w:r>
      <w:r>
        <w:rPr>
          <w:rStyle w:val="char3"/>
          <w:i w:val="0"/>
          <w:iCs w:val="0"/>
          <w:sz w:val="22"/>
          <w:szCs w:val="22"/>
        </w:rPr>
        <w:t>.2. As proponentes</w:t>
      </w:r>
      <w:r>
        <w:rPr>
          <w:rStyle w:val="char3"/>
          <w:i w:val="0"/>
          <w:iCs w:val="0"/>
          <w:sz w:val="22"/>
          <w:szCs w:val="22"/>
        </w:rPr>
        <w:t xml:space="preserve"> deverão apresentar declaração, devidamente assinada pelo representante legal da empresa, sob as penalidades cabíveis, de que:</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 xml:space="preserve">a) Não se encontra declarada inidônea para licitar ou contratar com órgãos da Administração Pública Federal, Estadual, </w:t>
      </w:r>
      <w:r>
        <w:rPr>
          <w:rStyle w:val="char3"/>
          <w:i w:val="0"/>
          <w:iCs w:val="0"/>
          <w:sz w:val="22"/>
          <w:szCs w:val="22"/>
        </w:rPr>
        <w:t>Municipal e do Distrito Federal</w:t>
      </w:r>
      <w:r>
        <w:rPr>
          <w:rStyle w:val="char3"/>
          <w:i w:val="0"/>
          <w:iCs w:val="0"/>
          <w:sz w:val="22"/>
          <w:szCs w:val="22"/>
        </w:rPr>
        <w:t>;</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b) Declara que não possui em seu quadro de pessoal empregado</w:t>
      </w:r>
      <w:r>
        <w:rPr>
          <w:rStyle w:val="char3"/>
          <w:i w:val="0"/>
          <w:iCs w:val="0"/>
          <w:sz w:val="22"/>
          <w:szCs w:val="22"/>
        </w:rPr>
        <w:t xml:space="preserve"> </w:t>
      </w:r>
      <w:r>
        <w:rPr>
          <w:rStyle w:val="char3"/>
          <w:i w:val="0"/>
          <w:iCs w:val="0"/>
          <w:sz w:val="22"/>
          <w:szCs w:val="22"/>
        </w:rPr>
        <w:t xml:space="preserve">(s) com menos de 18 anos, em trabalho noturno, </w:t>
      </w:r>
      <w:r>
        <w:rPr>
          <w:rStyle w:val="char3"/>
          <w:i w:val="0"/>
          <w:iCs w:val="0"/>
          <w:sz w:val="22"/>
          <w:szCs w:val="22"/>
        </w:rPr>
        <w:t>perigoso ou insalubre e menores de 16 (dezesseis)</w:t>
      </w:r>
      <w:r>
        <w:rPr>
          <w:rStyle w:val="char3"/>
          <w:i w:val="0"/>
          <w:iCs w:val="0"/>
          <w:sz w:val="22"/>
          <w:szCs w:val="22"/>
        </w:rPr>
        <w:t xml:space="preserve"> anos, em qualquer trabalho, salvo na condição de aprendiz, a partir de 14 anos, nos termos do art. 7º, XXXIII, da Constituição Federal e art. 27, V, da Lei 8666/93.</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sz w:val="22"/>
          <w:szCs w:val="22"/>
        </w:rPr>
      </w:pPr>
      <w:r>
        <w:rPr>
          <w:b/>
          <w:bCs/>
          <w:sz w:val="22"/>
          <w:szCs w:val="22"/>
        </w:rPr>
        <w:t>17 - DOS RECURSOS</w:t>
      </w:r>
    </w:p>
    <w:p>
      <w:pPr>
        <w:spacing w:before="0"/>
        <w:jc w:val="both"/>
        <w:rPr>
          <w:sz w:val="22"/>
          <w:szCs w:val="22"/>
        </w:rPr>
      </w:pPr>
      <w:r>
        <w:rPr>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sz w:val="22"/>
          <w:szCs w:val="22"/>
        </w:rPr>
      </w:pPr>
      <w:r>
        <w:rPr>
          <w:sz w:val="22"/>
          <w:szCs w:val="22"/>
        </w:rPr>
        <w:t>17.2. A falta de manifestação imediata e motivada do licitante quanto à intenção de recorrer, nos termos do item anterior, importará na decadência desse direito.</w:t>
      </w:r>
    </w:p>
    <w:p>
      <w:pPr>
        <w:spacing w:before="0"/>
        <w:jc w:val="both"/>
        <w:rPr>
          <w:sz w:val="22"/>
          <w:szCs w:val="22"/>
        </w:rPr>
      </w:pPr>
      <w:r>
        <w:rPr>
          <w:sz w:val="22"/>
          <w:szCs w:val="22"/>
        </w:rPr>
        <w:t xml:space="preserve">17.3. O acolhimento de recurso importará na invalidação apenas dos atos insuscetíveis de aproveitamento. </w:t>
      </w:r>
    </w:p>
    <w:p>
      <w:pPr>
        <w:spacing w:before="0"/>
        <w:jc w:val="both"/>
        <w:rPr>
          <w:sz w:val="22"/>
          <w:szCs w:val="22"/>
        </w:rPr>
      </w:pPr>
      <w:r>
        <w:rPr>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sz w:val="22"/>
          <w:szCs w:val="22"/>
        </w:rPr>
      </w:pPr>
      <w:r>
        <w:rPr>
          <w:sz w:val="22"/>
          <w:szCs w:val="22"/>
        </w:rPr>
        <w:t>17.5. Os recursos e contrarrazões de recurso deverão ser dirigidos ao Pregoeiro e protocolados junto ao órgão promotor do certame, localizado no endereço indicado neste edital, em dias úteis, no horário de 7h15 as 11h00 e de 12h30 as 16h00.</w:t>
      </w:r>
    </w:p>
    <w:p>
      <w:pPr>
        <w:spacing w:before="0"/>
        <w:jc w:val="both"/>
        <w:rPr>
          <w:sz w:val="22"/>
          <w:szCs w:val="22"/>
        </w:rPr>
      </w:pPr>
      <w:r>
        <w:rPr>
          <w:sz w:val="22"/>
          <w:szCs w:val="22"/>
        </w:rPr>
      </w:r>
    </w:p>
    <w:p>
      <w:pPr>
        <w:spacing w:before="0"/>
        <w:jc w:val="both"/>
        <w:rPr>
          <w:b/>
          <w:bCs/>
          <w:sz w:val="22"/>
          <w:szCs w:val="22"/>
        </w:rPr>
      </w:pPr>
      <w:r>
        <w:rPr>
          <w:b/>
          <w:bCs/>
          <w:sz w:val="22"/>
          <w:szCs w:val="22"/>
        </w:rPr>
        <w:t>18 - DA ADJUDICAÇÃO E DA CONVOCAÇÃO PARA ASSINAR A ATA DE REGISTRO DE PREÇOS</w:t>
      </w:r>
    </w:p>
    <w:p>
      <w:pPr>
        <w:spacing w:before="0"/>
        <w:jc w:val="both"/>
        <w:rPr>
          <w:sz w:val="22"/>
          <w:szCs w:val="22"/>
        </w:rPr>
      </w:pPr>
      <w:r>
        <w:rPr>
          <w:sz w:val="22"/>
          <w:szCs w:val="22"/>
        </w:rPr>
        <w:t>18.1. Decididos os recursos e constatada a regularidade dos atos praticados, a autoridade competente adjudicará o objeto e homologará o procedimento licitatório.</w:t>
      </w:r>
    </w:p>
    <w:p>
      <w:pPr>
        <w:spacing w:before="0"/>
        <w:jc w:val="both"/>
        <w:rPr>
          <w:sz w:val="22"/>
          <w:szCs w:val="22"/>
        </w:rPr>
      </w:pPr>
      <w:r>
        <w:rPr>
          <w:sz w:val="22"/>
          <w:szCs w:val="22"/>
        </w:rPr>
        <w:t>18.2. Após a homologação referida no item anterior, o adjudicatário será convocado para assinar a Ata de Registro de Preços e assinatura do Contrato no prazo de até 05 (cinco) dias úteis.</w:t>
      </w:r>
    </w:p>
    <w:p>
      <w:pPr>
        <w:spacing w:before="0"/>
        <w:jc w:val="both"/>
        <w:rPr>
          <w:sz w:val="22"/>
          <w:szCs w:val="22"/>
        </w:rPr>
      </w:pPr>
      <w:r>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sz w:val="22"/>
          <w:szCs w:val="22"/>
        </w:rPr>
      </w:pPr>
      <w:r>
        <w:rPr>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spacing w:before="0"/>
        <w:jc w:val="both"/>
        <w:rPr>
          <w:b/>
          <w:bCs/>
          <w:sz w:val="22"/>
          <w:szCs w:val="22"/>
        </w:rPr>
      </w:pPr>
      <w:r>
        <w:rPr>
          <w:b/>
          <w:bCs/>
          <w:sz w:val="22"/>
          <w:szCs w:val="22"/>
        </w:rPr>
        <w:t>19 - DAS SANÇÕES ADMINISTRATIVAS</w:t>
      </w:r>
    </w:p>
    <w:p>
      <w:pPr>
        <w:spacing w:before="0"/>
        <w:jc w:val="both"/>
        <w:rPr>
          <w:sz w:val="22"/>
          <w:szCs w:val="22"/>
        </w:rPr>
      </w:pPr>
      <w:r>
        <w:rPr>
          <w:sz w:val="22"/>
          <w:szCs w:val="22"/>
        </w:rPr>
        <w:t>19.1. O atraso injustificado na execução do contrato sujeitará o licitante contratado à aplicação de multa de mora, nas seguintes condições:</w:t>
      </w:r>
    </w:p>
    <w:p>
      <w:pPr>
        <w:spacing w:before="0"/>
        <w:jc w:val="both"/>
        <w:rPr>
          <w:sz w:val="22"/>
          <w:szCs w:val="22"/>
        </w:rPr>
      </w:pPr>
      <w:r>
        <w:rPr>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19.1.2. Os dias de atraso serão contabilizados em conformidade com o cronograma de execução do objeto contratual;</w:t>
      </w:r>
    </w:p>
    <w:p>
      <w:pPr>
        <w:spacing w:before="0"/>
        <w:jc w:val="both"/>
        <w:rPr>
          <w:sz w:val="22"/>
          <w:szCs w:val="22"/>
        </w:rPr>
      </w:pPr>
      <w:r>
        <w:rPr>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19.2. 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10% (dez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o Pregoeiro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19.3.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19.6.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t>19.7. Aplicar-se-á no que couber o art. 65 da Lei 8.666/93.</w:t>
      </w:r>
    </w:p>
    <w:p>
      <w:pPr>
        <w:spacing w:before="0"/>
        <w:jc w:val="both"/>
        <w:rPr>
          <w:rFonts w:eastAsia="Calibri"/>
          <w:sz w:val="22"/>
          <w:szCs w:val="22"/>
        </w:rPr>
      </w:pPr>
      <w:r>
        <w:rPr>
          <w:rFonts w:eastAsia="Calibri"/>
          <w:sz w:val="22"/>
          <w:szCs w:val="22"/>
        </w:rPr>
      </w:r>
    </w:p>
    <w:p>
      <w:pPr>
        <w:spacing w:before="0"/>
        <w:jc w:val="both"/>
        <w:rPr>
          <w:rFonts w:eastAsia="Calibri"/>
          <w:b/>
          <w:sz w:val="22"/>
          <w:szCs w:val="22"/>
        </w:rPr>
      </w:pPr>
      <w:r>
        <w:rPr>
          <w:rFonts w:eastAsia="Calibri"/>
          <w:b/>
          <w:sz w:val="22"/>
          <w:szCs w:val="22"/>
        </w:rPr>
        <w:t>20 - DA MICROEMPRESA OU EMPRESA DE PEQUENO PORTE (ME OU EPP)</w:t>
      </w:r>
    </w:p>
    <w:p>
      <w:pPr>
        <w:spacing w:before="0"/>
        <w:jc w:val="both"/>
        <w:rPr>
          <w:rFonts w:eastAsia="Calibri"/>
          <w:sz w:val="22"/>
          <w:szCs w:val="22"/>
        </w:rPr>
      </w:pPr>
      <w:r>
        <w:rPr>
          <w:rFonts w:eastAsia="Calibri"/>
          <w:sz w:val="22"/>
          <w:szCs w:val="22"/>
        </w:rPr>
        <w:t>20.1 A licitante microempresa ou empresa de pequeno porte que desejar usufruir do regime diferenciado e favorecido, disciplinado na Lei Complementar nº 123, de 14 de Dezembro de 2006, deverá apresentar no ato do credenciamento, declaração conforme anexo X, de que cumpre as exigências legais previstas na Lei e atendem aos requisitos do art. 3º da referida Lei Complementar, acompanhada da Certidão Simplificada da Junta Comercial que comprove tal situação.</w:t>
      </w:r>
    </w:p>
    <w:p>
      <w:pPr>
        <w:spacing w:before="0"/>
        <w:jc w:val="both"/>
        <w:rPr>
          <w:rFonts w:eastAsia="Calibri"/>
          <w:sz w:val="22"/>
          <w:szCs w:val="22"/>
        </w:rPr>
      </w:pPr>
      <w:r>
        <w:rPr>
          <w:rFonts w:eastAsia="Calibri"/>
          <w:sz w:val="22"/>
          <w:szCs w:val="22"/>
        </w:rPr>
        <w:t>20.2 Não poderão pleitear os benefícios do citado regime favorecido e diferenciado os licitantes abrangidos nas hipóteses do § 4º, do art. 3º, da citada Lei Complementar.</w:t>
      </w:r>
    </w:p>
    <w:p>
      <w:pPr>
        <w:spacing w:before="0"/>
        <w:jc w:val="both"/>
        <w:rPr>
          <w:rFonts w:eastAsia="Calibri"/>
          <w:sz w:val="22"/>
          <w:szCs w:val="22"/>
        </w:rPr>
      </w:pPr>
      <w:r>
        <w:rPr>
          <w:rFonts w:eastAsia="Calibri"/>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21 - DA UTILIZAÇÃO DA ATA DE REGISTRO DE PREÇOS POR ÓRGÃO OU ENTIDADES NÃO PARTICIPANTES</w:t>
      </w:r>
    </w:p>
    <w:p>
      <w:pPr>
        <w:pStyle w:val="para37"/>
        <w:spacing w:before="0"/>
        <w:jc w:val="both"/>
        <w:widowControl w:val="0"/>
        <w:rPr>
          <w:rFonts w:ascii="Times New Roman" w:hAnsi="Times New Roman"/>
          <w:color w:val="000000"/>
        </w:rPr>
      </w:pPr>
      <w:r>
        <w:rPr>
          <w:rFonts w:ascii="Times New Roman" w:hAnsi="Times New Roman"/>
          <w:color w:val="000000"/>
        </w:rPr>
        <w:t>21.1.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color w:val="000000"/>
        </w:rPr>
      </w:pPr>
      <w:r>
        <w:rPr>
          <w:rFonts w:ascii="Times New Roman" w:hAnsi="Times New Roman"/>
          <w:color w:val="000000"/>
        </w:rPr>
        <w:t>21.2.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color w:val="000000"/>
        </w:rPr>
      </w:pPr>
      <w:r>
        <w:rPr>
          <w:rFonts w:ascii="Times New Roman" w:hAnsi="Times New Roman"/>
          <w:color w:val="000000"/>
        </w:rPr>
        <w:t>21.3.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rFonts w:eastAsia="Calibri"/>
          <w:sz w:val="22"/>
          <w:szCs w:val="22"/>
        </w:rPr>
      </w:pPr>
      <w:r>
        <w:rPr>
          <w:rFonts w:eastAsia="Calibri"/>
          <w:sz w:val="22"/>
          <w:szCs w:val="22"/>
        </w:rPr>
      </w:r>
    </w:p>
    <w:p>
      <w:pPr>
        <w:spacing w:before="0"/>
        <w:jc w:val="both"/>
        <w:rPr>
          <w:b/>
          <w:bCs/>
          <w:sz w:val="22"/>
          <w:szCs w:val="22"/>
        </w:rPr>
      </w:pPr>
      <w:r>
        <w:rPr>
          <w:b/>
          <w:bCs/>
          <w:sz w:val="22"/>
          <w:szCs w:val="22"/>
        </w:rPr>
        <w:t>22 - DAS DISPOSIÇÕES FINAIS</w:t>
      </w:r>
    </w:p>
    <w:p>
      <w:pPr>
        <w:spacing w:before="0"/>
        <w:jc w:val="both"/>
        <w:rPr>
          <w:sz w:val="22"/>
          <w:szCs w:val="22"/>
        </w:rPr>
      </w:pPr>
      <w:r>
        <w:rPr>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sz w:val="22"/>
          <w:szCs w:val="22"/>
        </w:rPr>
      </w:pPr>
      <w:r>
        <w:rPr>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sz w:val="22"/>
          <w:szCs w:val="22"/>
        </w:rPr>
      </w:pPr>
      <w:r>
        <w:rPr>
          <w:sz w:val="22"/>
          <w:szCs w:val="22"/>
        </w:rPr>
        <w:t>22.3. É facultado ao Pregoeiro, ou à autoridade a ele superior, em qualquer fase da licitação, promover diligências com vistas a esclarecer ou a complementar a instrução do processo,</w:t>
      </w:r>
      <w:r>
        <w:rPr>
          <w:color w:val="0000ff"/>
          <w:sz w:val="22"/>
          <w:szCs w:val="22"/>
        </w:rPr>
        <w:t xml:space="preserve"> </w:t>
      </w:r>
      <w:r>
        <w:rPr>
          <w:sz w:val="22"/>
          <w:szCs w:val="22"/>
        </w:rPr>
        <w:t>vedada a criação de exigência não prevista neste edital.</w:t>
      </w:r>
    </w:p>
    <w:p>
      <w:pPr>
        <w:spacing w:before="0"/>
        <w:jc w:val="both"/>
        <w:rPr>
          <w:sz w:val="22"/>
          <w:szCs w:val="22"/>
        </w:rPr>
      </w:pPr>
      <w:r>
        <w:rPr>
          <w:sz w:val="22"/>
          <w:szCs w:val="22"/>
        </w:rPr>
        <w:t>22.4. Os licitantes intimados para prestar quaisquer esclarecimentos adicionais deverão fazê-lo no prazo determinado pelo Pregoeiro, sob pena de desclassificação.</w:t>
      </w:r>
    </w:p>
    <w:p>
      <w:pPr>
        <w:spacing w:before="0"/>
        <w:jc w:val="both"/>
        <w:rPr>
          <w:sz w:val="22"/>
          <w:szCs w:val="22"/>
        </w:rPr>
      </w:pPr>
      <w:r>
        <w:rPr>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sz w:val="22"/>
          <w:szCs w:val="22"/>
        </w:rPr>
      </w:pPr>
      <w:r>
        <w:rPr>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sz w:val="22"/>
          <w:szCs w:val="22"/>
        </w:rPr>
      </w:pPr>
      <w:r>
        <w:rPr>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sz w:val="22"/>
          <w:szCs w:val="22"/>
        </w:rPr>
      </w:pPr>
      <w:r>
        <w:rPr>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sz w:val="22"/>
          <w:szCs w:val="22"/>
        </w:rPr>
      </w:pPr>
      <w:r>
        <w:rPr>
          <w:sz w:val="22"/>
          <w:szCs w:val="22"/>
        </w:rPr>
        <w:t xml:space="preserve">22.9. Os casos não previstos neste Edital serão decididos pelo Pregoeiro. </w:t>
      </w:r>
    </w:p>
    <w:p>
      <w:pPr>
        <w:spacing w:before="0"/>
        <w:jc w:val="both"/>
        <w:rPr>
          <w:sz w:val="22"/>
          <w:szCs w:val="22"/>
        </w:rPr>
      </w:pPr>
      <w:r>
        <w:rPr>
          <w:sz w:val="22"/>
          <w:szCs w:val="22"/>
        </w:rPr>
        <w:t>22.10. A participação do licitante nesta licitação implica aceitação de todos os termos deste Edital.</w:t>
      </w:r>
    </w:p>
    <w:p>
      <w:pPr>
        <w:spacing w:before="0"/>
        <w:jc w:val="both"/>
        <w:rPr>
          <w:sz w:val="22"/>
          <w:szCs w:val="22"/>
        </w:rPr>
      </w:pPr>
      <w:r>
        <w:rPr>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sz w:val="22"/>
          <w:szCs w:val="22"/>
        </w:rPr>
      </w:pPr>
      <w:r>
        <w:rPr>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sz w:val="22"/>
          <w:szCs w:val="22"/>
        </w:rPr>
      </w:pPr>
      <w:r>
        <w:rPr>
          <w:sz w:val="22"/>
          <w:szCs w:val="22"/>
        </w:rPr>
        <w:t>22.13. A nulidade do procedimento licitatório induz a do contrato, ressalvando o disposto no parágrafo único do art. 59, da Lei nº 8.666/93.</w:t>
      </w:r>
    </w:p>
    <w:p>
      <w:pPr>
        <w:spacing w:before="0"/>
        <w:jc w:val="both"/>
        <w:rPr>
          <w:sz w:val="22"/>
          <w:szCs w:val="22"/>
        </w:rPr>
      </w:pPr>
      <w:r>
        <w:rPr>
          <w:sz w:val="22"/>
          <w:szCs w:val="22"/>
        </w:rPr>
        <w:t>22.14. No caso de desfazimento do processo licitatório, fica assegurada a ampla defesa e o contraditório.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São Domingos do Norte/ES, 26 de novembro de 2020.</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rPr>
      </w:pPr>
      <w:r>
        <w:rPr>
          <w:rFonts w:ascii="Times New Roman" w:hAnsi="Times New Roman"/>
        </w:rPr>
      </w:r>
    </w:p>
    <w:p>
      <w:pPr>
        <w:pStyle w:val="para37"/>
        <w:spacing w:before="0"/>
        <w:jc w:val="both"/>
        <w:rPr>
          <w:rFonts w:ascii="Times New Roman" w:hAnsi="Times New Roman"/>
        </w:rPr>
      </w:pPr>
      <w:r>
        <w:rPr>
          <w:rFonts w:ascii="Times New Roman" w:hAnsi="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19/2020 - SRP </w:t>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t>Ao</w:t>
      </w:r>
    </w:p>
    <w:p>
      <w:pPr>
        <w:spacing w:before="0"/>
        <w:jc w:val="both"/>
        <w:rPr>
          <w:rFonts w:eastAsia="BookmanOldStyle"/>
          <w:sz w:val="22"/>
          <w:szCs w:val="22"/>
        </w:rPr>
      </w:pPr>
      <w:r>
        <w:rPr>
          <w:rFonts w:eastAsia="BookmanOldStyle"/>
          <w:sz w:val="22"/>
          <w:szCs w:val="22"/>
        </w:rPr>
        <w:t>Pregoeiro e/ou Equipe de Apoio</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Prefeitura Municipal de São Domingos do Norte/ES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Prezados Senhores,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Atenciosamente,</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 .......... de ..................... de 2020.</w:t>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t>.......................................................................................</w:t>
      </w:r>
    </w:p>
    <w:p>
      <w:pPr>
        <w:spacing w:before="0"/>
        <w:jc w:val="both"/>
        <w:rPr>
          <w:rFonts w:eastAsia="BookmanOldStyle"/>
          <w:sz w:val="22"/>
          <w:szCs w:val="22"/>
        </w:rPr>
      </w:pPr>
      <w:r>
        <w:rPr>
          <w:rFonts w:eastAsia="BookmanOldStyle"/>
          <w:sz w:val="22"/>
          <w:szCs w:val="22"/>
        </w:rPr>
        <w:t>(Assinatura do representante legal da empresa)</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(a) e/ou Equipe de Apoio pessoalmente pelo representante credenciado, até impreterivelmente a hora marcada para inicio da licitação, prevista no presente Edital e</w:t>
      </w:r>
      <w:r>
        <w:rPr>
          <w:color w:val="000000"/>
          <w:sz w:val="22"/>
          <w:szCs w:val="22"/>
        </w:rPr>
        <w:t xml:space="preserve"> só terá validade se estiver acompanhada da Certidão Simplificada da Junta Comercial expedida em até 120 (cento e vinte) dias anterior à abertura do certame, que comprove tal situação do representante legal da empresa.</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19/2020 - SRP</w:t>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 xml:space="preserve">PREGÃO PRESENCIAL Nº 19/2020 - SRP </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de serviços, de acordo com todas as condições do PREGÃO PRESENCIAL Nº 19/2020 - SRP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sz w:val="22"/>
          <w:szCs w:val="22"/>
        </w:rPr>
      </w:pPr>
      <w:r>
        <w:rPr>
          <w:sz w:val="22"/>
          <w:szCs w:val="22"/>
        </w:rPr>
        <w:t>c) A Contratada terá que cumprir todos os requisitos conforme o Termo de Referência.</w:t>
      </w:r>
    </w:p>
    <w:p>
      <w:pPr>
        <w:pStyle w:val="para25"/>
        <w:spacing w:before="0" w:after="0"/>
        <w:jc w:val="both"/>
        <w:rPr>
          <w:color w:val="000000"/>
          <w:sz w:val="22"/>
          <w:szCs w:val="22"/>
        </w:rPr>
      </w:pPr>
      <w:r>
        <w:rPr>
          <w:color w:val="000000"/>
          <w:sz w:val="22"/>
          <w:szCs w:val="22"/>
        </w:rPr>
        <w:t>d) Manifesto cumprir plenamente os requisitos de habilitação e que minha proposta está em conformidade com as exigências do instrumento convocatório.</w:t>
      </w:r>
    </w:p>
    <w:p>
      <w:pPr>
        <w:spacing w:before="0"/>
        <w:jc w:val="both"/>
        <w:rPr>
          <w:b/>
          <w:bCs/>
          <w:sz w:val="22"/>
          <w:szCs w:val="22"/>
        </w:rPr>
      </w:pPr>
      <w:r>
        <w:rPr>
          <w:sz w:val="22"/>
          <w:szCs w:val="22"/>
        </w:rPr>
        <w:t xml:space="preserve">e)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w:t>
      </w:r>
      <w:r>
        <w:rPr>
          <w:b/>
          <w:bCs/>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19/2020 - SRP</w:t>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b/>
          <w:bCs/>
          <w:sz w:val="22"/>
          <w:szCs w:val="22"/>
        </w:rPr>
      </w:pPr>
      <w:r>
        <w:rPr>
          <w:b/>
          <w:bCs/>
          <w:sz w:val="22"/>
          <w:szCs w:val="22"/>
        </w:rPr>
        <w:t>1 - DA HABILITAÇÃO</w:t>
      </w:r>
    </w:p>
    <w:p>
      <w:pPr>
        <w:pStyle w:val="para23"/>
        <w:numPr>
          <w:ilvl w:val="0"/>
          <w:numId w:val="0"/>
        </w:numPr>
        <w:ind w:left="0" w:firstLine="0"/>
        <w:spacing w:before="0"/>
        <w:jc w:val="both"/>
        <w:rPr>
          <w:b/>
          <w:bCs/>
          <w:sz w:val="22"/>
          <w:szCs w:val="22"/>
        </w:rPr>
      </w:pPr>
      <w:r>
        <w:rPr>
          <w:b/>
          <w:bCs/>
          <w:sz w:val="22"/>
          <w:szCs w:val="22"/>
        </w:rPr>
      </w:r>
    </w:p>
    <w:p>
      <w:pPr>
        <w:pStyle w:val="para23"/>
        <w:numPr>
          <w:ilvl w:val="1"/>
          <w:numId w:val="17"/>
        </w:numPr>
        <w:ind w:left="420" w:hanging="420"/>
        <w:spacing w:before="0"/>
        <w:jc w:val="both"/>
        <w:rPr>
          <w:b/>
          <w:bCs/>
          <w:sz w:val="22"/>
          <w:szCs w:val="22"/>
        </w:rPr>
      </w:pPr>
      <w:r>
        <w:rPr>
          <w:b/>
          <w:bCs/>
          <w:sz w:val="22"/>
          <w:szCs w:val="22"/>
        </w:rPr>
        <w:t>DA HABILITAÇÃO JURÍDICA</w:t>
      </w:r>
    </w:p>
    <w:p>
      <w:pPr>
        <w:pStyle w:val="para23"/>
        <w:numPr>
          <w:ilvl w:val="0"/>
          <w:numId w:val="0"/>
        </w:numPr>
        <w:ind w:left="0" w:firstLine="0"/>
        <w:spacing w:before="0"/>
        <w:jc w:val="both"/>
        <w:rPr>
          <w:bCs/>
          <w:sz w:val="22"/>
          <w:szCs w:val="22"/>
        </w:rPr>
      </w:pPr>
      <w:r>
        <w:rPr>
          <w:bCs/>
          <w:sz w:val="22"/>
          <w:szCs w:val="22"/>
        </w:rPr>
        <w:t>a) Cédula de identidade;</w:t>
      </w:r>
    </w:p>
    <w:p>
      <w:pPr>
        <w:pStyle w:val="para23"/>
        <w:numPr>
          <w:ilvl w:val="0"/>
          <w:numId w:val="0"/>
        </w:numPr>
        <w:ind w:left="0" w:firstLine="0"/>
        <w:spacing w:before="0"/>
        <w:jc w:val="both"/>
        <w:rPr>
          <w:sz w:val="22"/>
          <w:szCs w:val="22"/>
        </w:rPr>
      </w:pPr>
      <w:r>
        <w:rPr>
          <w:bCs/>
          <w:sz w:val="22"/>
          <w:szCs w:val="22"/>
        </w:rPr>
        <w:t>b)</w:t>
      </w:r>
      <w:r>
        <w:rPr>
          <w:b/>
          <w:bCs/>
          <w:sz w:val="22"/>
          <w:szCs w:val="22"/>
        </w:rPr>
        <w:t xml:space="preserve"> </w:t>
      </w:r>
      <w:r>
        <w:rPr>
          <w:sz w:val="22"/>
          <w:szCs w:val="22"/>
        </w:rPr>
        <w:t>Registro comercial, no caso de empresa individual;</w:t>
      </w:r>
    </w:p>
    <w:p>
      <w:pPr>
        <w:pStyle w:val="para23"/>
        <w:numPr>
          <w:ilvl w:val="0"/>
          <w:numId w:val="0"/>
        </w:numPr>
        <w:ind w:left="0" w:firstLine="0"/>
        <w:spacing w:before="0"/>
        <w:jc w:val="both"/>
        <w:rPr>
          <w:sz w:val="22"/>
          <w:szCs w:val="22"/>
        </w:rPr>
      </w:pPr>
      <w:r>
        <w:rPr>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sz w:val="22"/>
          <w:szCs w:val="22"/>
        </w:rPr>
      </w:pPr>
      <w:r>
        <w:rPr>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sz w:val="22"/>
          <w:szCs w:val="22"/>
        </w:rPr>
      </w:pPr>
      <w:r>
        <w:rPr>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7"/>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 xml:space="preserve"> </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julho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sz w:val="22"/>
          <w:szCs w:val="22"/>
        </w:rPr>
      </w:pPr>
      <w:r>
        <w:rPr>
          <w:sz w:val="22"/>
          <w:szCs w:val="22"/>
        </w:rPr>
      </w:r>
    </w:p>
    <w:p>
      <w:pPr>
        <w:pStyle w:val="para23"/>
        <w:numPr>
          <w:ilvl w:val="0"/>
          <w:numId w:val="0"/>
        </w:numPr>
        <w:ind w:left="279"/>
        <w:spacing w:before="0"/>
        <w:jc w:val="both"/>
        <w:rPr>
          <w:b/>
          <w:bCs/>
          <w:sz w:val="22"/>
          <w:szCs w:val="22"/>
        </w:rPr>
      </w:pPr>
      <w:r>
        <w:rPr>
          <w:b/>
          <w:bCs/>
          <w:sz w:val="22"/>
          <w:szCs w:val="22"/>
        </w:rPr>
        <w:t>1.3 - DA QUALIFICAÇÃO TÉCNICA</w:t>
      </w:r>
    </w:p>
    <w:p>
      <w:pPr>
        <w:pStyle w:val="para23"/>
        <w:numPr>
          <w:ilvl w:val="0"/>
          <w:numId w:val="0"/>
        </w:numPr>
        <w:ind w:left="0" w:firstLine="0"/>
        <w:spacing w:before="0"/>
        <w:jc w:val="both"/>
        <w:rPr>
          <w:sz w:val="22"/>
          <w:szCs w:val="22"/>
        </w:rPr>
      </w:pPr>
      <w:r>
        <w:rPr>
          <w:sz w:val="22"/>
          <w:szCs w:val="22"/>
        </w:rPr>
        <w:t>a) Comprovação de que a licitante prestou determinado serviço,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spacing w:before="0"/>
        <w:jc w:val="both"/>
        <w:rPr>
          <w:sz w:val="22"/>
          <w:szCs w:val="22"/>
        </w:rPr>
      </w:pPr>
      <w:r>
        <w:rPr>
          <w:sz w:val="22"/>
          <w:szCs w:val="22"/>
        </w:rPr>
      </w:r>
    </w:p>
    <w:p>
      <w:pPr>
        <w:pStyle w:val="para23"/>
        <w:numPr>
          <w:ilvl w:val="0"/>
          <w:numId w:val="0"/>
        </w:numPr>
        <w:ind w:left="0" w:firstLine="0"/>
        <w:spacing w:before="0"/>
        <w:jc w:val="both"/>
        <w:tabs defTabSz="708"/>
        <w:rPr>
          <w:b/>
          <w:bCs/>
          <w:sz w:val="22"/>
          <w:szCs w:val="22"/>
        </w:rPr>
      </w:pPr>
      <w:r>
        <w:rPr>
          <w:b/>
          <w:bCs/>
          <w:sz w:val="22"/>
          <w:szCs w:val="22"/>
        </w:rPr>
        <w:t>1.4 - DA QUALIFICAÇÃO ECONÔMICO-FINANCEIRA</w:t>
      </w:r>
    </w:p>
    <w:p>
      <w:pPr>
        <w:pStyle w:val="para23"/>
        <w:numPr>
          <w:ilvl w:val="0"/>
          <w:numId w:val="0"/>
        </w:numPr>
        <w:ind w:left="0" w:firstLine="0"/>
        <w:spacing w:before="0"/>
        <w:jc w:val="both"/>
        <w:tabs defTabSz="708"/>
        <w:rPr>
          <w:sz w:val="22"/>
          <w:szCs w:val="22"/>
        </w:rPr>
      </w:pPr>
      <w:r>
        <w:rPr>
          <w:sz w:val="22"/>
          <w:szCs w:val="22"/>
        </w:rPr>
        <w:t xml:space="preserve">a) Balanço Patrimonial e Demonstrações Contábeis do último exercício social, </w:t>
      </w:r>
      <w:r>
        <w:rPr>
          <w:b/>
          <w:sz w:val="22"/>
          <w:szCs w:val="22"/>
        </w:rPr>
        <w:t>na forma da Lei</w:t>
      </w:r>
      <w:r>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pPr>
        <w:pStyle w:val="para23"/>
        <w:numPr>
          <w:ilvl w:val="0"/>
          <w:numId w:val="0"/>
        </w:numPr>
        <w:ind w:left="0" w:firstLine="0"/>
        <w:spacing w:before="0"/>
        <w:jc w:val="both"/>
        <w:tabs defTabSz="708"/>
        <w:rPr>
          <w:i/>
          <w:sz w:val="22"/>
          <w:szCs w:val="22"/>
        </w:rPr>
      </w:pPr>
      <w:r>
        <w:rPr>
          <w:i/>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tabs defTabSz="708"/>
        <w:rPr>
          <w:i/>
          <w:sz w:val="22"/>
          <w:szCs w:val="22"/>
        </w:rPr>
      </w:pPr>
      <w:r>
        <w:rPr>
          <w:i/>
          <w:sz w:val="22"/>
          <w:szCs w:val="22"/>
        </w:rPr>
        <w:t>a.1) cooperativas: os que tiverem aprovados pela Assembleia Geral Anual Competente para apreciá-los;</w:t>
      </w:r>
    </w:p>
    <w:p>
      <w:pPr>
        <w:pStyle w:val="para23"/>
        <w:numPr>
          <w:ilvl w:val="0"/>
          <w:numId w:val="0"/>
        </w:numPr>
        <w:ind w:left="0" w:firstLine="0"/>
        <w:spacing w:before="0"/>
        <w:jc w:val="both"/>
        <w:tabs defTabSz="708"/>
        <w:rPr>
          <w:i/>
          <w:sz w:val="22"/>
          <w:szCs w:val="22"/>
        </w:rPr>
      </w:pPr>
      <w:r>
        <w:rPr>
          <w:i/>
          <w:sz w:val="22"/>
          <w:szCs w:val="22"/>
        </w:rPr>
        <w:t>a.2) sociedades regidas pela Lei n° 6.404/76 (sociedade anônima):</w:t>
      </w:r>
    </w:p>
    <w:p>
      <w:pPr>
        <w:pStyle w:val="para23"/>
        <w:numPr>
          <w:ilvl w:val="0"/>
          <w:numId w:val="0"/>
        </w:numPr>
        <w:ind w:left="0" w:firstLine="0"/>
        <w:spacing w:before="0"/>
        <w:jc w:val="both"/>
        <w:tabs defTabSz="708"/>
        <w:rPr>
          <w:i/>
          <w:sz w:val="22"/>
          <w:szCs w:val="22"/>
        </w:rPr>
      </w:pPr>
      <w:r>
        <w:rPr>
          <w:i/>
          <w:sz w:val="22"/>
          <w:szCs w:val="22"/>
        </w:rPr>
        <w:t>- publicados em Diário Oficial; ou</w:t>
      </w:r>
    </w:p>
    <w:p>
      <w:pPr>
        <w:pStyle w:val="para23"/>
        <w:numPr>
          <w:ilvl w:val="0"/>
          <w:numId w:val="0"/>
        </w:numPr>
        <w:ind w:left="0" w:firstLine="0"/>
        <w:spacing w:before="0"/>
        <w:jc w:val="both"/>
        <w:tabs defTabSz="708"/>
        <w:rPr>
          <w:i/>
          <w:sz w:val="22"/>
          <w:szCs w:val="22"/>
        </w:rPr>
      </w:pPr>
      <w:r>
        <w:rPr>
          <w:i/>
          <w:sz w:val="22"/>
          <w:szCs w:val="22"/>
        </w:rPr>
        <w:t>- publicados em jornal de grande circulação; ou</w:t>
      </w:r>
    </w:p>
    <w:p>
      <w:pPr>
        <w:pStyle w:val="para23"/>
        <w:numPr>
          <w:ilvl w:val="0"/>
          <w:numId w:val="0"/>
        </w:numPr>
        <w:ind w:left="0" w:firstLine="0"/>
        <w:spacing w:before="0"/>
        <w:jc w:val="both"/>
        <w:tabs defTabSz="708"/>
        <w:rPr>
          <w:i/>
          <w:sz w:val="22"/>
          <w:szCs w:val="22"/>
        </w:rPr>
      </w:pPr>
      <w:r>
        <w:rPr>
          <w:i/>
          <w:sz w:val="22"/>
          <w:szCs w:val="22"/>
        </w:rPr>
        <w:t>- por fotocópia registrada ou autenticada na Junta Comercial da sede ou domicilio da licitante.</w:t>
      </w:r>
    </w:p>
    <w:p>
      <w:pPr>
        <w:pStyle w:val="para23"/>
        <w:numPr>
          <w:ilvl w:val="0"/>
          <w:numId w:val="0"/>
        </w:numPr>
        <w:ind w:left="0" w:firstLine="0"/>
        <w:spacing w:before="0"/>
        <w:jc w:val="both"/>
        <w:tabs defTabSz="708"/>
        <w:rPr>
          <w:sz w:val="22"/>
          <w:szCs w:val="22"/>
        </w:rPr>
      </w:pPr>
      <w:r>
        <w:rPr>
          <w:sz w:val="22"/>
          <w:szCs w:val="22"/>
        </w:rPr>
        <w:t xml:space="preserve">a.3) sociedades limitadas (LTDA)/ </w:t>
      </w:r>
      <w:r>
        <w:rPr>
          <w:b/>
          <w:sz w:val="22"/>
          <w:szCs w:val="22"/>
        </w:rPr>
        <w:t>sociedades sujeitas ao regime estabelecido na Lei Complementar n° 123, de 14 de dezembro de 2018 – Lei das Microempresas e das Empresas de Pequeno Porte (“SIMPLES”):</w:t>
      </w:r>
      <w:r>
        <w:rPr>
          <w:sz w:val="22"/>
          <w:szCs w:val="22"/>
        </w:rPr>
      </w:r>
    </w:p>
    <w:p>
      <w:pPr>
        <w:pStyle w:val="para23"/>
        <w:numPr>
          <w:ilvl w:val="0"/>
          <w:numId w:val="0"/>
        </w:numPr>
        <w:ind w:left="0" w:firstLine="0"/>
        <w:spacing w:before="0"/>
        <w:jc w:val="both"/>
        <w:tabs defTabSz="708"/>
        <w:rPr>
          <w:i/>
          <w:sz w:val="22"/>
          <w:szCs w:val="22"/>
        </w:rPr>
      </w:pPr>
      <w:r>
        <w:rPr>
          <w:i/>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tabs defTabSz="708"/>
        <w:rPr>
          <w:i/>
          <w:sz w:val="22"/>
          <w:szCs w:val="22"/>
        </w:rPr>
      </w:pPr>
      <w:r>
        <w:rPr>
          <w:i/>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tabs defTabSz="708"/>
        <w:rPr>
          <w:b/>
          <w:sz w:val="22"/>
          <w:szCs w:val="22"/>
        </w:rPr>
      </w:pPr>
      <w:r>
        <w:rPr>
          <w:b/>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tabs defTabSz="708"/>
        <w:rPr>
          <w:i/>
          <w:sz w:val="22"/>
          <w:szCs w:val="22"/>
        </w:rPr>
      </w:pPr>
      <w:r>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pStyle w:val="para29"/>
        <w:numPr>
          <w:ilvl w:val="0"/>
          <w:numId w:val="0"/>
        </w:numPr>
        <w:ind w:left="0" w:firstLine="0"/>
        <w:spacing w:before="0" w:after="0"/>
        <w:jc w:val="both"/>
        <w:tabs defTabSz="708"/>
        <w:rPr>
          <w:sz w:val="22"/>
          <w:szCs w:val="22"/>
        </w:rPr>
      </w:pPr>
      <w:r>
        <w:rPr>
          <w:sz w:val="22"/>
          <w:szCs w:val="22"/>
        </w:rPr>
        <w:t xml:space="preserve">b) </w:t>
      </w:r>
      <w:r>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sz w:val="22"/>
          <w:szCs w:val="22"/>
        </w:rPr>
        <w:t>.</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sz w:val="22"/>
          <w:szCs w:val="22"/>
        </w:rPr>
      </w:pPr>
      <w:r>
        <w:rPr>
          <w:sz w:val="22"/>
          <w:szCs w:val="22"/>
        </w:rPr>
      </w:r>
    </w:p>
    <w:p>
      <w:pPr>
        <w:spacing w:before="0"/>
        <w:jc w:val="both"/>
        <w:rPr>
          <w:b/>
          <w:bCs/>
          <w:sz w:val="22"/>
          <w:szCs w:val="22"/>
        </w:rPr>
      </w:pPr>
      <w:r>
        <w:rPr>
          <w:b/>
          <w:bCs/>
          <w:sz w:val="22"/>
          <w:szCs w:val="22"/>
        </w:rPr>
        <w:t>1.5 – DA DECLARAÇÃO DE ATENDIMENTO AO INCISO XXXIII, ART. 7º, DA CONSTITUIÇÃO FEDERAL.</w:t>
      </w:r>
    </w:p>
    <w:p>
      <w:pPr>
        <w:pStyle w:val="para23"/>
        <w:numPr>
          <w:ilvl w:val="0"/>
          <w:numId w:val="0"/>
        </w:numPr>
        <w:ind w:left="0" w:firstLine="0"/>
        <w:spacing w:before="0"/>
        <w:jc w:val="both"/>
        <w:rPr>
          <w:sz w:val="22"/>
          <w:szCs w:val="22"/>
        </w:rPr>
      </w:pPr>
      <w:r>
        <w:rPr>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jc w:val="both"/>
        <w:rPr>
          <w:b/>
          <w:sz w:val="22"/>
          <w:szCs w:val="22"/>
        </w:rPr>
      </w:pPr>
      <w:r>
        <w:rPr>
          <w:b/>
          <w:sz w:val="22"/>
          <w:szCs w:val="22"/>
        </w:rPr>
      </w:r>
    </w:p>
    <w:p>
      <w:pPr>
        <w:spacing w:before="0"/>
        <w:jc w:val="both"/>
        <w:tabs defTabSz="708"/>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tabs defTabSz="708"/>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tabs defTabSz="708"/>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r>
    </w:p>
    <w:p>
      <w:pPr>
        <w:pStyle w:val="para32"/>
        <w:spacing w:before="0" w:after="0"/>
        <w:rPr>
          <w:i w:val="0"/>
          <w:iCs w:val="0"/>
          <w:sz w:val="22"/>
          <w:szCs w:val="22"/>
        </w:rPr>
      </w:pPr>
      <w:r>
        <w:rPr>
          <w:i w:val="0"/>
          <w:iCs w:val="0"/>
          <w:sz w:val="22"/>
          <w:szCs w:val="22"/>
        </w:rPr>
        <w:t>PREGÃO PRESENCIAL Nº 19/2020 - SRP</w:t>
      </w:r>
    </w:p>
    <w:p>
      <w:pPr>
        <w:pStyle w:val="para33"/>
        <w:spacing w:before="0"/>
        <w:rPr>
          <w:sz w:val="22"/>
          <w:szCs w:val="22"/>
        </w:rPr>
      </w:pPr>
      <w:r>
        <w:rPr>
          <w:sz w:val="22"/>
          <w:szCs w:val="22"/>
        </w:rPr>
        <w:t>ANEXO V - DECLARAÇÃO NÃO EMPREGA MENOR</w:t>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t>* Apresentar na Habilitação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19/2020 - SRP</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em ...............................de.........................................de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19/2020 -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r>
      <w:r>
        <w:rPr>
          <w:sz w:val="22"/>
          <w:szCs w:val="22"/>
        </w:rPr>
        <w:tab/>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19/2020 - SRP</w:t>
      </w:r>
    </w:p>
    <w:p>
      <w:pPr>
        <w:spacing w:before="0"/>
        <w:rPr>
          <w:b/>
          <w:sz w:val="22"/>
          <w:szCs w:val="22"/>
        </w:rPr>
      </w:pPr>
      <w:r>
        <w:rPr>
          <w:b/>
          <w:sz w:val="22"/>
          <w:szCs w:val="22"/>
        </w:rPr>
        <w:t>ANEXO VII</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DA ATA DE REGISTRO DE PREÇOS</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606408759"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408759"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408759"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408759"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408759"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rPr>
      </w:pPr>
      <w:r>
        <w:rPr>
          <w:rFonts w:ascii="Times New Roman" w:hAnsi="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2467/2020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19/2020 - SRP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xxxxxxx– São Domingos do Norte, considerando o julgamento da licitação na modalidade de PREGÃO PRESENCIAL PARA REGISTRO DE PREÇOS, sob nº. 19/2020 - SRP, publicada no DIOES do dia ..............., bem como, a classificação das propostas publicada no DIOES de ___/___/____, do processo 2467/2020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 Federal nº 3.555/00, pelo Decreto Federal 9.488/2018 e Decreto Municipal 1.663 de 11/06/2019 e subsidiariamente, pela Lei Federal no 8.666/93, LC 123/2006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ff0000"/>
          <w:sz w:val="22"/>
          <w:szCs w:val="22"/>
        </w:rPr>
      </w:pPr>
      <w:r>
        <w:rPr>
          <w:sz w:val="22"/>
          <w:szCs w:val="22"/>
        </w:rPr>
        <w:t xml:space="preserve">1.1. </w:t>
      </w:r>
      <w:r>
        <w:rPr>
          <w:color w:val="000000"/>
          <w:sz w:val="22"/>
          <w:szCs w:val="22"/>
        </w:rPr>
        <w:t xml:space="preserve">Aquisição de 1.000 (mil) Kits Cestas Básicas acondicionadas em embalagens plásticas transparentes e resistentes, que serão distribuídas de forma gratuita às famílias de baixa renda, que encontram-se em estado de vulnerabilidade social, que necessitam de auxílio no complemento alimentar, e que comprovem suas rendas familiares inferiores a (01) um salário mínimo. De acordo com a Lei Municipal nº 547, de 27 de fevereiro de 2009, para o exercício de 2020. </w:t>
      </w:r>
      <w:r>
        <w:rPr>
          <w:color w:val="ff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a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w:t>
      </w:r>
    </w:p>
    <w:p>
      <w:pPr>
        <w:spacing w:before="0"/>
        <w:jc w:val="both"/>
        <w:rPr>
          <w:b/>
          <w:color w:val="000000"/>
          <w:sz w:val="22"/>
          <w:szCs w:val="22"/>
        </w:rPr>
      </w:pPr>
      <w:r>
        <w:rPr>
          <w:b/>
          <w:color w:val="000000"/>
          <w:sz w:val="22"/>
          <w:szCs w:val="22"/>
        </w:rPr>
        <w:t>Fichas:</w:t>
      </w:r>
    </w:p>
    <w:p>
      <w:pPr>
        <w:spacing w:before="0"/>
        <w:jc w:val="both"/>
        <w:rPr>
          <w:b/>
          <w:color w:val="000000"/>
          <w:sz w:val="22"/>
          <w:szCs w:val="22"/>
        </w:rPr>
      </w:pPr>
      <w:r>
        <w:rPr>
          <w:b/>
          <w:color w:val="000000"/>
          <w:sz w:val="22"/>
          <w:szCs w:val="22"/>
        </w:rPr>
        <w:t>Secretaria Municipal Trabalho Assistência e Desenvolvimento Social</w:t>
      </w:r>
    </w:p>
    <w:p>
      <w:pPr>
        <w:spacing w:before="0"/>
        <w:jc w:val="both"/>
        <w:rPr>
          <w:color w:val="000000"/>
          <w:sz w:val="22"/>
          <w:szCs w:val="22"/>
        </w:rPr>
      </w:pPr>
      <w:r>
        <w:rPr>
          <w:color w:val="000000"/>
          <w:sz w:val="22"/>
          <w:szCs w:val="22"/>
        </w:rPr>
        <w:t>344 - 1390</w:t>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o período de validade;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Definir o local para entrega dos materiais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pela servidora Leidimar Romagna designada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dezembro de 2020</w:t>
      </w:r>
      <w:r>
        <w:rPr>
          <w:b/>
          <w:sz w:val="22"/>
          <w:szCs w:val="22"/>
        </w:rPr>
        <w:t>.</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rPr>
          <w:b/>
          <w:sz w:val="22"/>
          <w:szCs w:val="22"/>
        </w:rPr>
      </w:pPr>
      <w:r>
        <w:rPr>
          <w:b/>
          <w:sz w:val="22"/>
          <w:szCs w:val="22"/>
        </w:rPr>
        <w:t>ANEXO X</w:t>
      </w:r>
    </w:p>
    <w:p>
      <w:pPr>
        <w:spacing w:before="0"/>
        <w:rPr>
          <w:sz w:val="22"/>
          <w:szCs w:val="22"/>
        </w:rPr>
      </w:pPr>
      <w:r>
        <w:rPr>
          <w:sz w:val="22"/>
          <w:szCs w:val="22"/>
        </w:rPr>
      </w:r>
    </w:p>
    <w:p>
      <w:pPr>
        <w:spacing w:before="0"/>
        <w:jc w:val="both"/>
        <w:rPr>
          <w:sz w:val="22"/>
          <w:szCs w:val="22"/>
        </w:rPr>
      </w:pPr>
      <w:r>
        <w:rPr>
          <w:sz w:val="22"/>
          <w:szCs w:val="22"/>
        </w:rPr>
        <w:t>DECLARAÇÃO PARA MICROEMPRESA E EMPRESA DE PEQUENO PORTE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19/2020 -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sz w:val="22"/>
          <w:szCs w:val="22"/>
        </w:rPr>
      </w:pPr>
      <w:r>
        <w:rPr>
          <w:sz w:val="22"/>
          <w:szCs w:val="22"/>
        </w:rPr>
      </w:r>
    </w:p>
    <w:p>
      <w:pPr>
        <w:spacing w:before="0"/>
        <w:jc w:val="both"/>
        <w:rPr>
          <w:sz w:val="22"/>
          <w:szCs w:val="22"/>
        </w:rPr>
      </w:pPr>
      <w:r>
        <w:rPr>
          <w:sz w:val="22"/>
          <w:szCs w:val="22"/>
        </w:rPr>
        <w:t xml:space="preserve"> </w:t>
      </w:r>
    </w:p>
    <w:p>
      <w:pPr>
        <w:spacing w:before="0"/>
        <w:jc w:val="both"/>
        <w:rPr>
          <w:sz w:val="22"/>
          <w:szCs w:val="22"/>
        </w:rPr>
      </w:pPr>
      <w:r>
        <w:rPr>
          <w:sz w:val="22"/>
          <w:szCs w:val="22"/>
        </w:rPr>
        <w:t>_________________________, _____ de 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pStyle w:val="para33"/>
        <w:spacing w:before="0"/>
        <w:jc w:val="both"/>
        <w:rPr>
          <w:b w:val="0"/>
          <w:iCs/>
          <w:sz w:val="22"/>
          <w:szCs w:val="22"/>
        </w:rPr>
      </w:pPr>
      <w:r>
        <w:rPr>
          <w:b w:val="0"/>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41"/>
        <w:spacing w:before="0"/>
        <w:jc w:val="both"/>
        <w:rPr>
          <w:b/>
          <w:iCs/>
          <w:sz w:val="22"/>
          <w:szCs w:val="22"/>
        </w:rPr>
      </w:pPr>
      <w:r>
        <w:rPr>
          <w:b/>
          <w:iCs/>
          <w:sz w:val="22"/>
          <w:szCs w:val="22"/>
        </w:rPr>
        <w:t>* Deverá apresentar no credenciamento.</w:t>
      </w:r>
    </w:p>
    <w:p>
      <w:pPr>
        <w:spacing w:before="0"/>
        <w:jc w:val="both"/>
        <w:rPr>
          <w:b/>
          <w:iCs/>
          <w:sz w:val="22"/>
          <w:szCs w:val="22"/>
        </w:rPr>
      </w:pPr>
      <w:r>
        <w:rPr>
          <w:b/>
          <w:iCs/>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19/2020 -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19/2020 -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N9q/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9</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N9q/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9</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N9q/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3">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4">
    <w:multiLevelType w:val="hybridMultilevel"/>
    <w:name w:val="Lista numerada 4"/>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5"/>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7">
    <w:multiLevelType w:val="hybridMultilevel"/>
    <w:name w:val="Lista numerada 7"/>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10"/>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1">
    <w:multiLevelType w:val="hybridMultilevel"/>
    <w:name w:val="Lista numerada 1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4">
    <w:multiLevelType w:val="hybridMultilevel"/>
    <w:name w:val="Lista numerada 14"/>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5">
    <w:multiLevelType w:val="hybridMultilevel"/>
    <w:name w:val="Lista numerada 15"/>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8">
    <w:multiLevelType w:val="hybridMultilevel"/>
    <w:name w:val="Lista numerada 18"/>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22">
    <w:multiLevelType w:val="hybridMultilevel"/>
    <w:name w:val="Lista numerada 22"/>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3">
    <w:multiLevelType w:val="hybridMultilevel"/>
    <w:name w:val="Lista numerada 23"/>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8">
    <w:multiLevelType w:val="hybridMultilevel"/>
    <w:name w:val="Lista numerada 28"/>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9">
    <w:multiLevelType w:val="hybridMultilevel"/>
    <w:name w:val="Lista numerada 29"/>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30">
    <w:multiLevelType w:val="hybridMultilevel"/>
    <w:name w:val="Lista numerada 30"/>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1">
    <w:multiLevelType w:val="hybridMultilevel"/>
    <w:name w:val="Lista numerada 3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2">
    <w:multiLevelType w:val="hybridMultilevel"/>
    <w:name w:val="Lista numerada 32"/>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3">
    <w:multiLevelType w:val="hybridMultilevel"/>
    <w:name w:val="Lista numerada 33"/>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87"/>
    <w:tmReviewMarkIns w:val="4"/>
    <w:tmReviewColorIns w:val="-1"/>
    <w:tmReviewMarkDel w:val="6"/>
    <w:tmReviewColorDel w:val="-1"/>
    <w:tmReviewMarkFmt w:val="1"/>
    <w:tmReviewColorFmt w:val="-1"/>
    <w:tmReviewMarkLn w:val="1"/>
    <w:tmReviewColorLn w:val="0"/>
    <w:tmReviewToolTip w:val="0"/>
  </w:tmReviewPr>
  <w:tmLastPos>
    <w:tmLastPosPage w:val="8"/>
    <w:tmLastPosSelect w:val="0"/>
    <w:tmLastPosFrameIdx w:val="0"/>
    <w:tmLastPosCaret>
      <w:tmLastPosPgfIdx w:val="234"/>
      <w:tmLastPosIdx w:val="40"/>
    </w:tmLastPosCaret>
    <w:tmLastPosAnchor>
      <w:tmLastPosPgfIdx w:val="0"/>
      <w:tmLastPosIdx w:val="0"/>
    </w:tmLastPosAnchor>
    <w:tmLastPosTblRect w:left="0" w:top="0" w:right="0" w:bottom="0"/>
  </w:tmLastPos>
  <w:tmAppRevision w:date="1606408759" w:val="980"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87</cp:revision>
  <cp:lastPrinted>2020-11-26T16:39:23Z</cp:lastPrinted>
  <dcterms:created xsi:type="dcterms:W3CDTF">2017-05-02T13:52:00Z</dcterms:created>
  <dcterms:modified xsi:type="dcterms:W3CDTF">2020-11-26T16:39:19Z</dcterms:modified>
</cp:coreProperties>
</file>